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Kpr"/>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eParagraf"/>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eParagraf"/>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eParagraf"/>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eParagraf"/>
        <w:numPr>
          <w:ilvl w:val="0"/>
          <w:numId w:val="48"/>
        </w:numPr>
      </w:pPr>
      <w:r w:rsidRPr="00F276B3">
        <w:t>Insert answers into the blank, white cells provided.</w:t>
      </w:r>
    </w:p>
    <w:p w14:paraId="4AB13ACC" w14:textId="37246AC2" w:rsidR="00E63AC5" w:rsidRDefault="00E63AC5" w:rsidP="007A24F7">
      <w:pPr>
        <w:pStyle w:val="ListeParagraf"/>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eParagraf"/>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eParagraf"/>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eParagraf"/>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Kpr"/>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659"/>
        <w:gridCol w:w="5239"/>
        <w:gridCol w:w="247"/>
        <w:gridCol w:w="172"/>
        <w:gridCol w:w="4139"/>
      </w:tblGrid>
      <w:tr w:rsidR="00A17AE4" w14:paraId="33816968" w14:textId="77777777" w:rsidTr="16E45F72">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16E45F72">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16E45F72">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4EA58971" w:rsidR="00E53255" w:rsidRDefault="00E53255" w:rsidP="00093CA9">
            <w:r>
              <w:t>BTS Legal</w:t>
            </w:r>
          </w:p>
        </w:tc>
      </w:tr>
      <w:tr w:rsidR="00093CA9" w14:paraId="68D6C829" w14:textId="77777777" w:rsidTr="16E45F72">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16E45F72">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2FDEC872" w:rsidR="00093CA9" w:rsidRDefault="008361A2" w:rsidP="00093CA9">
            <w:r>
              <w:t>Türkiye</w:t>
            </w:r>
          </w:p>
        </w:tc>
      </w:tr>
      <w:tr w:rsidR="00093CA9" w:rsidRPr="00E50B13" w14:paraId="55091B20" w14:textId="77777777" w:rsidTr="16E45F72">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Bal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16E45F72">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883C649" w:rsidR="00093CA9" w:rsidRDefault="00201740" w:rsidP="00093CA9">
            <w:r w:rsidRPr="00201740">
              <w:t>Guide to Managing Climate-Related Financial Risks by the Banking Regulation and Supervisory Agency (BDDK İklimle Bağlantılı Finansal Risklerin Yönetimine İlişkin Rehber)</w:t>
            </w:r>
            <w:r w:rsidR="00C6430A">
              <w:t xml:space="preserve"> (“</w:t>
            </w:r>
            <w:r w:rsidR="00BF3354">
              <w:rPr>
                <w:b/>
                <w:bCs/>
              </w:rPr>
              <w:t>Guideline</w:t>
            </w:r>
            <w:r w:rsidR="00C6430A">
              <w:t xml:space="preserve">”) </w:t>
            </w:r>
          </w:p>
        </w:tc>
      </w:tr>
      <w:tr w:rsidR="00093CA9" w14:paraId="67500B24" w14:textId="77777777" w:rsidTr="16E45F72">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16E45F72">
        <w:trPr>
          <w:trHeight w:val="1021"/>
        </w:trPr>
        <w:tc>
          <w:tcPr>
            <w:tcW w:w="1063" w:type="dxa"/>
            <w:vAlign w:val="center"/>
          </w:tcPr>
          <w:p w14:paraId="04C859A5" w14:textId="77777777" w:rsidR="00093CA9" w:rsidRDefault="00093CA9" w:rsidP="00093CA9"/>
        </w:tc>
        <w:tc>
          <w:tcPr>
            <w:tcW w:w="9169" w:type="dxa"/>
            <w:gridSpan w:val="4"/>
            <w:vAlign w:val="center"/>
          </w:tcPr>
          <w:p w14:paraId="5A08449E" w14:textId="1C6C1C6F" w:rsidR="006D76F0" w:rsidRDefault="006D76F0" w:rsidP="00093CA9">
            <w:hyperlink r:id="rId18" w:history="1">
              <w:r w:rsidRPr="001F469E">
                <w:rPr>
                  <w:rStyle w:val="Kpr"/>
                </w:rPr>
                <w:t>https://web.archive.org/web/20250616095700/https://www.bddk.org.tr/Mevzuat/DokumanGetir/1282</w:t>
              </w:r>
            </w:hyperlink>
          </w:p>
          <w:p w14:paraId="3CEA85A5" w14:textId="10D3609D" w:rsidR="00CC3A04" w:rsidRDefault="0046589E" w:rsidP="00093CA9">
            <w:hyperlink r:id="rId19" w:history="1">
              <w:r w:rsidRPr="007F4F8C">
                <w:rPr>
                  <w:rStyle w:val="Kpr"/>
                </w:rPr>
                <w:t>https://web.archive.org/web/20250706154626/https://mevzuat.gov.tr/MevzuatMetin/1.5.5411.pdf</w:t>
              </w:r>
            </w:hyperlink>
            <w:r>
              <w:t xml:space="preserve">  </w:t>
            </w:r>
          </w:p>
          <w:p w14:paraId="64A430A2" w14:textId="0509C253" w:rsidR="00CC3A04" w:rsidRDefault="00BC21A9" w:rsidP="00093CA9">
            <w:hyperlink r:id="rId20" w:history="1">
              <w:r w:rsidRPr="007F4F8C">
                <w:rPr>
                  <w:rStyle w:val="Kpr"/>
                </w:rPr>
                <w:t>https://web.archive.org/web/20250706155651/https://mevzuat.gov.tr/File/GeneratePdf?mevzuatNo=19864&amp;mevzuatTur=KurumVeKurulusYonetmeligi&amp;mevzuatTertip=5</w:t>
              </w:r>
            </w:hyperlink>
            <w:r>
              <w:t xml:space="preserve">  </w:t>
            </w:r>
          </w:p>
          <w:p w14:paraId="1523C232" w14:textId="6BDBA3FF" w:rsidR="009A3E86" w:rsidRDefault="008047DF" w:rsidP="00093CA9">
            <w:hyperlink r:id="rId21" w:history="1">
              <w:r w:rsidRPr="007F4F8C">
                <w:rPr>
                  <w:rStyle w:val="Kpr"/>
                </w:rPr>
                <w:t>https://web.archive.org/web/20250706155729/https://mevzuat.gov.tr/mevzuat?MevzuatNo=10522&amp;MevzuatTur=7&amp;MevzuatTertip=5</w:t>
              </w:r>
            </w:hyperlink>
            <w:r>
              <w:t xml:space="preserve">  </w:t>
            </w:r>
          </w:p>
        </w:tc>
      </w:tr>
      <w:tr w:rsidR="00093CA9" w:rsidRPr="005A2023" w14:paraId="1EA0B43C" w14:textId="77777777" w:rsidTr="16E45F72">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16E45F72">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16E45F72">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CD78F30" w:rsidR="00093CA9" w:rsidRDefault="00093CA9" w:rsidP="00093CA9"/>
        </w:tc>
      </w:tr>
      <w:tr w:rsidR="00093CA9" w14:paraId="2CE0B955" w14:textId="77777777" w:rsidTr="16E45F72">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16E45F72">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16E45F72">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49CE0C1" w:rsidR="00093CA9" w:rsidRDefault="00201740" w:rsidP="00093CA9">
            <w:r>
              <w:t>X</w:t>
            </w:r>
          </w:p>
        </w:tc>
      </w:tr>
      <w:tr w:rsidR="00093CA9" w14:paraId="4C779C87" w14:textId="77777777" w:rsidTr="16E45F72">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16E45F72">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16E45F72">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578902D2" w:rsidR="00093CA9" w:rsidRDefault="206009A3" w:rsidP="0062724C">
            <w:pPr>
              <w:jc w:val="both"/>
            </w:pPr>
            <w:r>
              <w:t>Guideline</w:t>
            </w:r>
            <w:r w:rsidR="00B078A7">
              <w:t>, issued by the Banking Regulation and Supervision Agency ("</w:t>
            </w:r>
            <w:r w:rsidR="00B078A7" w:rsidRPr="16E45F72">
              <w:rPr>
                <w:b/>
                <w:bCs/>
              </w:rPr>
              <w:t>BRSA</w:t>
            </w:r>
            <w:r w:rsidR="00B078A7">
              <w:t xml:space="preserve">"), is a legally binding secondary regulation requiring all banks to integrate climate-related financial risks into their governance, risk management, and internal systems. Structured around 12 core principles, the Guideline aims to ensure that banks identify, assess, manage, and mitigate both physical and transition risks arising from climate change. </w:t>
            </w:r>
            <w:r w:rsidR="0062724C">
              <w:t>The Guideline have been prepared in accordance with Article 35 of the Regulation on Internal Systems and Internal Capital Adequacy Assessment Process of Banks (“</w:t>
            </w:r>
            <w:r w:rsidR="0062724C" w:rsidRPr="16E45F72">
              <w:rPr>
                <w:b/>
                <w:bCs/>
              </w:rPr>
              <w:t>Regulation</w:t>
            </w:r>
            <w:r w:rsidR="0062724C">
              <w:t>”) and basically sets forth the principles that will form the basis of good practices regarding the policies, processes and activities to be established for the effective management of climate-related financial risks to which banks are exposed and the duties and responsibilities of the bank, including senior management.</w:t>
            </w:r>
          </w:p>
        </w:tc>
      </w:tr>
      <w:tr w:rsidR="00093CA9" w14:paraId="2451E529" w14:textId="77777777" w:rsidTr="16E45F72">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16E45F72">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0E26B552" w:rsidR="00093CA9" w:rsidRDefault="008E1E36" w:rsidP="00093CA9">
            <w:r>
              <w:t>X</w:t>
            </w:r>
          </w:p>
        </w:tc>
      </w:tr>
      <w:tr w:rsidR="00093CA9" w14:paraId="3640F334" w14:textId="77777777" w:rsidTr="16E45F72">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3E3E1DF6" w:rsidR="00093CA9" w:rsidRDefault="00093CA9" w:rsidP="00093CA9"/>
        </w:tc>
      </w:tr>
      <w:tr w:rsidR="003D6DA5" w14:paraId="2F19D0AC" w14:textId="77777777" w:rsidTr="16E45F72">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16E45F72">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16E45F72">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16E45F72">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16E45F72">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16E45F72">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3E089655" w:rsidR="00093CA9" w:rsidRDefault="009E2FD6" w:rsidP="009E2FD6">
            <w:pPr>
              <w:jc w:val="both"/>
            </w:pPr>
            <w:r w:rsidRPr="009E2FD6">
              <w:t>The Guideline has been prepared and published by BRSA</w:t>
            </w:r>
            <w:r w:rsidR="00F91779">
              <w:t xml:space="preserve"> on March 13, 2025</w:t>
            </w:r>
            <w:r w:rsidR="00F13F92">
              <w:t>. A</w:t>
            </w:r>
            <w:r w:rsidRPr="009E2FD6">
              <w:t xml:space="preserve">s stated in Section 3, it </w:t>
            </w:r>
            <w:r w:rsidR="00F13F92">
              <w:t>entered</w:t>
            </w:r>
            <w:r w:rsidRPr="009E2FD6">
              <w:t xml:space="preserve"> into force as of 01.07.2025.</w:t>
            </w:r>
          </w:p>
        </w:tc>
      </w:tr>
      <w:tr w:rsidR="00093CA9" w14:paraId="5FF08B4A" w14:textId="77777777" w:rsidTr="16E45F72">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16E45F72">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1F93E1CE" w:rsidR="00093CA9" w:rsidRPr="00173D7C" w:rsidRDefault="009E2FD6" w:rsidP="00093CA9">
            <w:pPr>
              <w:rPr>
                <w:color w:val="000000" w:themeColor="text1"/>
              </w:rPr>
            </w:pPr>
            <w:r>
              <w:rPr>
                <w:color w:val="000000" w:themeColor="text1"/>
              </w:rPr>
              <w:t>2025</w:t>
            </w:r>
          </w:p>
        </w:tc>
      </w:tr>
      <w:tr w:rsidR="00093CA9" w14:paraId="738B7301" w14:textId="77777777" w:rsidTr="16E45F72">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16E45F72">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2AC9941" w:rsidR="00093CA9" w:rsidRPr="00173D7C" w:rsidRDefault="00F91779" w:rsidP="00093CA9">
            <w:pPr>
              <w:rPr>
                <w:color w:val="000000" w:themeColor="text1"/>
              </w:rPr>
            </w:pPr>
            <w:r>
              <w:rPr>
                <w:color w:val="000000" w:themeColor="text1"/>
              </w:rPr>
              <w:t>2025</w:t>
            </w:r>
          </w:p>
        </w:tc>
      </w:tr>
      <w:tr w:rsidR="00093CA9" w14:paraId="2C2614F8" w14:textId="77777777" w:rsidTr="16E45F72">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16E45F72">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16E45F72">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16E45F72">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16E45F72">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16E45F72">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5C421B4" w:rsidR="00093CA9" w:rsidRDefault="00955756" w:rsidP="00093CA9">
            <w:r w:rsidRPr="00DA6BC5">
              <w:t>Independent regulatory and supervisory authority</w:t>
            </w:r>
          </w:p>
        </w:tc>
      </w:tr>
      <w:tr w:rsidR="00093CA9" w:rsidRPr="006B7B0D" w14:paraId="5375EB04" w14:textId="77777777" w:rsidTr="16E45F72">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16E45F72">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FD32004" w:rsidR="00093CA9" w:rsidRPr="006B7B0D" w:rsidRDefault="00922F2B" w:rsidP="00093CA9">
            <w:r w:rsidRPr="00DA6BC5">
              <w:t>Banking Regulation and Supervision Agency of Türkiye</w:t>
            </w:r>
          </w:p>
        </w:tc>
      </w:tr>
      <w:tr w:rsidR="00093CA9" w:rsidRPr="006B7B0D" w14:paraId="2F387FFB" w14:textId="77777777" w:rsidTr="16E45F72">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16E45F72">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16E45F72">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16E45F72">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16E45F72">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C3FC93B" w:rsidR="00093CA9" w:rsidRPr="006B7B0D" w:rsidRDefault="00922F2B" w:rsidP="00093CA9">
            <w:r>
              <w:t>X</w:t>
            </w:r>
          </w:p>
        </w:tc>
      </w:tr>
      <w:tr w:rsidR="00093CA9" w:rsidRPr="006B7B0D" w14:paraId="06CA77C4" w14:textId="77777777" w:rsidTr="16E45F72">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16E45F72">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16E45F72">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16E45F72">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16E45F72">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16E45F72">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16E45F72">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16E45F72">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16E45F72">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16E45F72">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16E45F72">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16E45F72">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16E45F72">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16E45F72">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16E45F72">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16E45F72">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16E45F72">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16E45F72">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16E45F72">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16E45F72">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16E45F72">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16E45F72">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16E45F72">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16E45F72">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16E45F72">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16E45F72">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16E45F72">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16E45F72">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16E45F72">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16E45F72">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0DF26E2E" w:rsidR="00093CA9" w:rsidRDefault="001B63A1" w:rsidP="001B63A1">
            <w:pPr>
              <w:jc w:val="both"/>
            </w:pPr>
            <w:r w:rsidRPr="001B63A1">
              <w:t>BRSA is the sole authority responsible for overseeing the implementation and enforcement of the policy tool. It possesses high institutional capacity, supported by strong legal mandates under the Banking Law No. 5411</w:t>
            </w:r>
            <w:r w:rsidR="00F87AF3">
              <w:t xml:space="preserve"> (“</w:t>
            </w:r>
            <w:r w:rsidR="00F87AF3" w:rsidRPr="00F87AF3">
              <w:rPr>
                <w:b/>
                <w:bCs/>
              </w:rPr>
              <w:t>Law</w:t>
            </w:r>
            <w:r w:rsidR="00F87AF3">
              <w:t>”)</w:t>
            </w:r>
            <w:r w:rsidRPr="001B63A1">
              <w:t>; and has both the regulatory authority and supervisory mechanisms to enforce compliance across the banking sector. BRSA issues binding secondary legislation, conducts on-site and off-site supervision, and maintains a dedicated team of experts, enabling it to effectively oversee the implementation of climate-related financial risk management practices.</w:t>
            </w:r>
          </w:p>
        </w:tc>
      </w:tr>
      <w:tr w:rsidR="00093CA9" w14:paraId="7C1E73C1" w14:textId="77777777" w:rsidTr="16E45F72">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16E45F72">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4F645B21" w:rsidR="00093CA9" w:rsidRDefault="00093CA9" w:rsidP="00093CA9"/>
        </w:tc>
      </w:tr>
      <w:tr w:rsidR="00093CA9" w14:paraId="461D4D38" w14:textId="77777777" w:rsidTr="16E45F72">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5808DC8D" w:rsidR="00093CA9" w:rsidRDefault="00ED6405" w:rsidP="00093CA9">
            <w:r>
              <w:t>X</w:t>
            </w:r>
          </w:p>
        </w:tc>
      </w:tr>
      <w:tr w:rsidR="00093CA9" w14:paraId="0763562F" w14:textId="77777777" w:rsidTr="16E45F72">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16E45F72">
        <w:trPr>
          <w:trHeight w:val="1020"/>
        </w:trPr>
        <w:tc>
          <w:tcPr>
            <w:tcW w:w="1063" w:type="dxa"/>
            <w:vAlign w:val="center"/>
          </w:tcPr>
          <w:p w14:paraId="08EDF6C9" w14:textId="77777777" w:rsidR="00093CA9" w:rsidRDefault="00093CA9" w:rsidP="00093CA9"/>
        </w:tc>
        <w:tc>
          <w:tcPr>
            <w:tcW w:w="9169" w:type="dxa"/>
            <w:gridSpan w:val="4"/>
            <w:vAlign w:val="center"/>
          </w:tcPr>
          <w:p w14:paraId="21299C4D" w14:textId="4378F62E" w:rsidR="00F3313C" w:rsidRDefault="00F3313C" w:rsidP="00736E9B">
            <w:pPr>
              <w:keepNext/>
              <w:jc w:val="both"/>
              <w:rPr>
                <w:color w:val="000000" w:themeColor="text1"/>
              </w:rPr>
            </w:pPr>
            <w:r w:rsidRPr="00F3313C">
              <w:rPr>
                <w:color w:val="000000" w:themeColor="text1"/>
              </w:rPr>
              <w:t xml:space="preserve">The Guideline does not explicitly establish the principles governing the periodic reporting obligation to the BRSA. However, despite the absence of specific implementation principles, Principle 7 of the policy tool, titled “Monitoring and Reporting,” states that banks are expected to consider climate-related financial risks in their risk data collection and internal risk reporting practices. In accordance with Principle 7, it is emphasized that banks should engage proactively with clients and other relevant parties to collect additional data; such data should be utilized in the assessment of climate-related financial risks, and the outcomes of these assessments should be reported to senior management. As further stipulated in paragraph 27, reporting should be conducted in a timely manner and updated regularly. Banks may determine appropriate intervals for updating their internal risk reports, considering the evolving nature of climate-related financial risks. Additionally, reporting obligations are referenced under Principle 4, paragraph 13, as part of the responsibilities within the three lines of </w:t>
            </w:r>
            <w:r w:rsidR="00A46EC1" w:rsidRPr="00F3313C">
              <w:rPr>
                <w:color w:val="000000" w:themeColor="text1"/>
              </w:rPr>
              <w:t>defence</w:t>
            </w:r>
            <w:r w:rsidRPr="00F3313C">
              <w:rPr>
                <w:color w:val="000000" w:themeColor="text1"/>
              </w:rPr>
              <w:t xml:space="preserve"> against climate-related financial risks. Moreover, Principles 8, paragraphs 29 and 30, directly refer to reporting obligation.</w:t>
            </w:r>
          </w:p>
          <w:p w14:paraId="2C2128DB" w14:textId="128923F9" w:rsidR="00093CA9" w:rsidRPr="008017F9" w:rsidRDefault="007E1AE1" w:rsidP="00736E9B">
            <w:pPr>
              <w:keepNext/>
              <w:jc w:val="both"/>
              <w:rPr>
                <w:color w:val="000000" w:themeColor="text1"/>
              </w:rPr>
            </w:pPr>
            <w:r w:rsidRPr="16E45F72">
              <w:rPr>
                <w:color w:val="000000" w:themeColor="text1"/>
              </w:rPr>
              <w:t xml:space="preserve">Although the policy instrument does not set forth the details of the reporting obligation, </w:t>
            </w:r>
            <w:r w:rsidR="000C11B2" w:rsidRPr="16E45F72">
              <w:rPr>
                <w:color w:val="000000" w:themeColor="text1"/>
              </w:rPr>
              <w:t>w</w:t>
            </w:r>
            <w:r w:rsidR="34FB1DDF" w:rsidRPr="16E45F72">
              <w:rPr>
                <w:color w:val="000000" w:themeColor="text1"/>
              </w:rPr>
              <w:t>w</w:t>
            </w:r>
            <w:r w:rsidR="00266C9D" w:rsidRPr="16E45F72">
              <w:rPr>
                <w:color w:val="000000" w:themeColor="text1"/>
              </w:rPr>
              <w:t>e would like to emphasize that the Guideline has been prepared in accordance with Article 35 of the Regulation. Accordingly, since the policy tool aims to concretize the principles in the “Risk Management” process set forth in the Regulation, banks are subject to the maximum 3-month periodic reporting obligation specified in Articles 19, 31, 45 and 63 of the Regulation. Accordingly, although the reporting requirements, obligations and periodic periods are not explicitly regulated in the Guideline, banks are required to comply with the reporting and supervision processes as per the baseline Regulation.</w:t>
            </w:r>
          </w:p>
        </w:tc>
      </w:tr>
    </w:tbl>
    <w:p w14:paraId="6F36141D" w14:textId="193F21DA" w:rsidR="005F3137" w:rsidRDefault="005F3137"/>
    <w:p w14:paraId="4E5E0234" w14:textId="5F707638" w:rsidR="00A40404" w:rsidRDefault="005E50FD" w:rsidP="00A40404">
      <w:pPr>
        <w:pStyle w:val="Balk1"/>
      </w:pPr>
      <w:r>
        <w:br w:type="page"/>
      </w:r>
      <w:bookmarkStart w:id="1" w:name="_Toc198223601"/>
      <w:r w:rsidR="00A40404">
        <w:lastRenderedPageBreak/>
        <w:t>Domain 1: Climate-Related Disclosure</w:t>
      </w:r>
      <w:bookmarkEnd w:id="1"/>
    </w:p>
    <w:p w14:paraId="74977052" w14:textId="07875EE2"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A5324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Balk2"/>
      </w:pPr>
      <w:bookmarkStart w:id="4" w:name="_Toc198223603"/>
      <w:r>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Balk1"/>
      </w:pPr>
      <w:bookmarkStart w:id="6" w:name="_Toc198223605"/>
      <w:r>
        <w:lastRenderedPageBreak/>
        <w:t>Domain 2: Transition Planning</w:t>
      </w:r>
      <w:bookmarkEnd w:id="6"/>
    </w:p>
    <w:p w14:paraId="0CA57B64" w14:textId="2923536F"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A5324B"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Balk2"/>
      </w:pPr>
      <w:bookmarkStart w:id="8" w:name="_Toc198223607"/>
      <w:r>
        <w:lastRenderedPageBreak/>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Bal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A5324B"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Balk1"/>
      </w:pPr>
      <w:bookmarkStart w:id="25" w:name="_Toc198223622"/>
      <w:r>
        <w:lastRenderedPageBreak/>
        <w:t>Domain 4: Carbon Credits</w:t>
      </w:r>
      <w:bookmarkEnd w:id="25"/>
    </w:p>
    <w:p w14:paraId="25C35D8C" w14:textId="52BD279F"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A5324B"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Balk1"/>
      </w:pPr>
      <w:bookmarkStart w:id="39" w:name="_Toc198223631"/>
      <w:r w:rsidRPr="009C4D10">
        <w:lastRenderedPageBreak/>
        <w:t>Domain 5: Prudential Tools</w:t>
      </w:r>
      <w:bookmarkEnd w:id="39"/>
    </w:p>
    <w:p w14:paraId="3E16913F" w14:textId="21F34EF6"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16E45F72">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16E45F72">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16E45F72">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C3BB47D" w:rsidR="00D4323A" w:rsidRPr="00CF2E7C" w:rsidRDefault="002F5B30" w:rsidP="00CF2E7C">
            <w:pPr>
              <w:rPr>
                <w:rFonts w:ascii="Calibri" w:hAnsi="Calibri" w:cs="Calibri"/>
              </w:rPr>
            </w:pPr>
            <w:r>
              <w:rPr>
                <w:rFonts w:ascii="Calibri" w:hAnsi="Calibri" w:cs="Calibri"/>
              </w:rPr>
              <w:t>X</w:t>
            </w:r>
          </w:p>
        </w:tc>
      </w:tr>
      <w:tr w:rsidR="00D4323A" w:rsidRPr="009C4D10" w14:paraId="2E8BFB98" w14:textId="77777777" w:rsidTr="16E45F72">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5CB154A0" w:rsidR="00D4323A" w:rsidRPr="00CF2E7C" w:rsidRDefault="00293783" w:rsidP="00CF2E7C">
            <w:pPr>
              <w:rPr>
                <w:rFonts w:ascii="Calibri" w:hAnsi="Calibri" w:cs="Calibri"/>
              </w:rPr>
            </w:pPr>
            <w:r>
              <w:rPr>
                <w:rFonts w:ascii="Calibri" w:hAnsi="Calibri" w:cs="Calibri"/>
              </w:rPr>
              <w:t>X</w:t>
            </w:r>
          </w:p>
        </w:tc>
      </w:tr>
      <w:tr w:rsidR="00D4323A" w:rsidRPr="009C4D10" w14:paraId="43F20BEC" w14:textId="77777777" w:rsidTr="16E45F72">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BA035C6" w:rsidR="00D4323A" w:rsidRPr="00CF2E7C" w:rsidRDefault="002F5B30"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293783" w:rsidRPr="009C4D10" w14:paraId="7CCA8B79" w14:textId="77777777" w:rsidTr="16E45F72">
        <w:trPr>
          <w:trHeight w:val="24"/>
        </w:trPr>
        <w:tc>
          <w:tcPr>
            <w:tcW w:w="1065" w:type="dxa"/>
            <w:vAlign w:val="center"/>
          </w:tcPr>
          <w:p w14:paraId="37C046FC" w14:textId="53C49594" w:rsidR="00293783" w:rsidRPr="00CF2E7C" w:rsidRDefault="00293783" w:rsidP="00293783">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293783" w:rsidRPr="00CF2E7C" w:rsidRDefault="00293783" w:rsidP="00293783">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293783" w:rsidRPr="00CF2E7C" w:rsidRDefault="00293783" w:rsidP="00293783">
            <w:pPr>
              <w:rPr>
                <w:rFonts w:ascii="Calibri" w:hAnsi="Calibri" w:cs="Calibri"/>
              </w:rPr>
            </w:pPr>
          </w:p>
        </w:tc>
        <w:tc>
          <w:tcPr>
            <w:tcW w:w="1455" w:type="dxa"/>
            <w:gridSpan w:val="2"/>
            <w:vAlign w:val="center"/>
          </w:tcPr>
          <w:p w14:paraId="4902C0E0" w14:textId="77777777" w:rsidR="00293783" w:rsidRPr="00CF2E7C" w:rsidRDefault="00293783" w:rsidP="00293783">
            <w:pPr>
              <w:rPr>
                <w:rFonts w:ascii="Calibri" w:hAnsi="Calibri" w:cs="Calibri"/>
              </w:rPr>
            </w:pPr>
          </w:p>
        </w:tc>
        <w:tc>
          <w:tcPr>
            <w:tcW w:w="1505" w:type="dxa"/>
            <w:vAlign w:val="center"/>
          </w:tcPr>
          <w:p w14:paraId="09AE3F99" w14:textId="7F8AA11A" w:rsidR="00293783" w:rsidRPr="00CF2E7C" w:rsidRDefault="00293783" w:rsidP="00293783">
            <w:pPr>
              <w:rPr>
                <w:rFonts w:ascii="Calibri" w:hAnsi="Calibri" w:cs="Calibri"/>
              </w:rPr>
            </w:pPr>
            <w:r>
              <w:rPr>
                <w:rFonts w:ascii="Calibri" w:hAnsi="Calibri" w:cs="Calibri"/>
              </w:rPr>
              <w:t>X</w:t>
            </w:r>
          </w:p>
        </w:tc>
      </w:tr>
      <w:tr w:rsidR="00293783" w:rsidRPr="009C4D10" w14:paraId="7E6D8DB7" w14:textId="77777777" w:rsidTr="16E45F72">
        <w:trPr>
          <w:trHeight w:val="24"/>
        </w:trPr>
        <w:tc>
          <w:tcPr>
            <w:tcW w:w="1065" w:type="dxa"/>
            <w:vAlign w:val="center"/>
          </w:tcPr>
          <w:p w14:paraId="01559852" w14:textId="4E391D88" w:rsidR="00293783" w:rsidRPr="00CF2E7C" w:rsidRDefault="00293783" w:rsidP="00293783">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293783" w:rsidRPr="00CF2E7C" w:rsidRDefault="00293783" w:rsidP="00293783">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293783" w:rsidRPr="00CF2E7C" w:rsidRDefault="00293783" w:rsidP="00293783">
            <w:pPr>
              <w:rPr>
                <w:rFonts w:ascii="Calibri" w:hAnsi="Calibri" w:cs="Calibri"/>
              </w:rPr>
            </w:pPr>
          </w:p>
        </w:tc>
        <w:tc>
          <w:tcPr>
            <w:tcW w:w="1455" w:type="dxa"/>
            <w:gridSpan w:val="2"/>
            <w:vAlign w:val="center"/>
          </w:tcPr>
          <w:p w14:paraId="6CA5E6D4" w14:textId="77777777" w:rsidR="00293783" w:rsidRPr="00CF2E7C" w:rsidRDefault="00293783" w:rsidP="00293783">
            <w:pPr>
              <w:rPr>
                <w:rFonts w:ascii="Calibri" w:hAnsi="Calibri" w:cs="Calibri"/>
              </w:rPr>
            </w:pPr>
          </w:p>
        </w:tc>
        <w:tc>
          <w:tcPr>
            <w:tcW w:w="1505" w:type="dxa"/>
            <w:vAlign w:val="center"/>
          </w:tcPr>
          <w:p w14:paraId="3395370C" w14:textId="04534D99" w:rsidR="00293783" w:rsidRPr="00CF2E7C" w:rsidRDefault="00293783" w:rsidP="00293783">
            <w:pPr>
              <w:rPr>
                <w:rFonts w:ascii="Calibri" w:hAnsi="Calibri" w:cs="Calibri"/>
              </w:rPr>
            </w:pPr>
            <w:r>
              <w:rPr>
                <w:rFonts w:ascii="Calibri" w:hAnsi="Calibri" w:cs="Calibri"/>
              </w:rPr>
              <w:t>X</w:t>
            </w:r>
          </w:p>
        </w:tc>
      </w:tr>
      <w:tr w:rsidR="00293783" w:rsidRPr="009C4D10" w14:paraId="79ED0E10" w14:textId="77777777" w:rsidTr="16E45F72">
        <w:trPr>
          <w:trHeight w:val="300"/>
        </w:trPr>
        <w:tc>
          <w:tcPr>
            <w:tcW w:w="1065" w:type="dxa"/>
            <w:vAlign w:val="center"/>
          </w:tcPr>
          <w:p w14:paraId="4BE294D3" w14:textId="36E58011" w:rsidR="00293783" w:rsidRPr="00CF2E7C" w:rsidRDefault="00293783" w:rsidP="00293783">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293783" w:rsidRPr="00CF2E7C" w:rsidRDefault="00293783" w:rsidP="00293783">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293783" w:rsidRPr="00CF2E7C" w:rsidRDefault="00293783" w:rsidP="00293783">
            <w:pPr>
              <w:rPr>
                <w:rFonts w:ascii="Calibri" w:hAnsi="Calibri" w:cs="Calibri"/>
              </w:rPr>
            </w:pPr>
          </w:p>
        </w:tc>
        <w:tc>
          <w:tcPr>
            <w:tcW w:w="1455" w:type="dxa"/>
            <w:gridSpan w:val="2"/>
            <w:vAlign w:val="center"/>
          </w:tcPr>
          <w:p w14:paraId="4035B265" w14:textId="77777777" w:rsidR="00293783" w:rsidRPr="00CF2E7C" w:rsidRDefault="00293783" w:rsidP="00293783">
            <w:pPr>
              <w:rPr>
                <w:rFonts w:ascii="Calibri" w:hAnsi="Calibri" w:cs="Calibri"/>
              </w:rPr>
            </w:pPr>
          </w:p>
        </w:tc>
        <w:tc>
          <w:tcPr>
            <w:tcW w:w="1505" w:type="dxa"/>
            <w:vAlign w:val="center"/>
          </w:tcPr>
          <w:p w14:paraId="6709B18B" w14:textId="0AD49078" w:rsidR="00293783" w:rsidRPr="00CF2E7C" w:rsidRDefault="00293783" w:rsidP="00293783">
            <w:pPr>
              <w:rPr>
                <w:rFonts w:ascii="Calibri" w:hAnsi="Calibri" w:cs="Calibri"/>
              </w:rPr>
            </w:pPr>
            <w:r>
              <w:rPr>
                <w:rFonts w:ascii="Calibri" w:hAnsi="Calibri" w:cs="Calibri"/>
              </w:rPr>
              <w:t>X</w:t>
            </w:r>
          </w:p>
        </w:tc>
      </w:tr>
      <w:tr w:rsidR="00293783" w:rsidRPr="009C4D10" w14:paraId="6E1F1A41" w14:textId="77777777" w:rsidTr="16E45F72">
        <w:trPr>
          <w:trHeight w:val="24"/>
        </w:trPr>
        <w:tc>
          <w:tcPr>
            <w:tcW w:w="1065" w:type="dxa"/>
            <w:vAlign w:val="center"/>
          </w:tcPr>
          <w:p w14:paraId="16418396" w14:textId="4F23F845" w:rsidR="00293783" w:rsidRPr="00CF2E7C" w:rsidRDefault="00293783" w:rsidP="00293783">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293783" w:rsidRPr="00CF2E7C" w:rsidRDefault="00293783" w:rsidP="00293783">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293783" w:rsidRPr="00CF2E7C" w:rsidRDefault="00293783" w:rsidP="00293783">
            <w:pPr>
              <w:rPr>
                <w:rFonts w:ascii="Calibri" w:hAnsi="Calibri" w:cs="Calibri"/>
              </w:rPr>
            </w:pPr>
          </w:p>
        </w:tc>
        <w:tc>
          <w:tcPr>
            <w:tcW w:w="1455" w:type="dxa"/>
            <w:gridSpan w:val="2"/>
            <w:vAlign w:val="center"/>
          </w:tcPr>
          <w:p w14:paraId="22BF6C29" w14:textId="77777777" w:rsidR="00293783" w:rsidRPr="00CF2E7C" w:rsidRDefault="00293783" w:rsidP="00293783">
            <w:pPr>
              <w:rPr>
                <w:rFonts w:ascii="Calibri" w:hAnsi="Calibri" w:cs="Calibri"/>
              </w:rPr>
            </w:pPr>
          </w:p>
        </w:tc>
        <w:tc>
          <w:tcPr>
            <w:tcW w:w="1505" w:type="dxa"/>
            <w:vAlign w:val="center"/>
          </w:tcPr>
          <w:p w14:paraId="24A5223C" w14:textId="17B713AD" w:rsidR="00293783" w:rsidRPr="00CF2E7C" w:rsidRDefault="00293783" w:rsidP="00293783">
            <w:pPr>
              <w:rPr>
                <w:rFonts w:ascii="Calibri" w:hAnsi="Calibri" w:cs="Calibri"/>
              </w:rPr>
            </w:pPr>
            <w:r>
              <w:rPr>
                <w:rFonts w:ascii="Calibri" w:hAnsi="Calibri" w:cs="Calibri"/>
              </w:rPr>
              <w:t>X</w:t>
            </w:r>
          </w:p>
        </w:tc>
      </w:tr>
      <w:tr w:rsidR="00293783" w:rsidRPr="009C4D10" w14:paraId="719820F8" w14:textId="77777777" w:rsidTr="16E45F72">
        <w:trPr>
          <w:trHeight w:val="300"/>
        </w:trPr>
        <w:tc>
          <w:tcPr>
            <w:tcW w:w="1065" w:type="dxa"/>
            <w:vAlign w:val="center"/>
          </w:tcPr>
          <w:p w14:paraId="3A3F343D" w14:textId="5FF435E2" w:rsidR="00293783" w:rsidRPr="00CF2E7C" w:rsidRDefault="00293783" w:rsidP="00293783">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293783" w:rsidRPr="00CF2E7C" w:rsidRDefault="00293783" w:rsidP="00293783">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293783" w:rsidRPr="00CF2E7C" w:rsidRDefault="00293783" w:rsidP="00293783">
            <w:pPr>
              <w:rPr>
                <w:rFonts w:ascii="Calibri" w:hAnsi="Calibri" w:cs="Calibri"/>
              </w:rPr>
            </w:pPr>
          </w:p>
        </w:tc>
        <w:tc>
          <w:tcPr>
            <w:tcW w:w="1455" w:type="dxa"/>
            <w:gridSpan w:val="2"/>
            <w:vAlign w:val="center"/>
          </w:tcPr>
          <w:p w14:paraId="4E9DEEA5" w14:textId="77777777" w:rsidR="00293783" w:rsidRPr="00CF2E7C" w:rsidRDefault="00293783" w:rsidP="00293783">
            <w:pPr>
              <w:rPr>
                <w:rFonts w:ascii="Calibri" w:hAnsi="Calibri" w:cs="Calibri"/>
              </w:rPr>
            </w:pPr>
          </w:p>
        </w:tc>
        <w:tc>
          <w:tcPr>
            <w:tcW w:w="1505" w:type="dxa"/>
            <w:vAlign w:val="center"/>
          </w:tcPr>
          <w:p w14:paraId="1BD9121A" w14:textId="657AA3A5" w:rsidR="00293783" w:rsidRPr="00CF2E7C" w:rsidRDefault="00293783" w:rsidP="00293783">
            <w:pPr>
              <w:rPr>
                <w:rFonts w:ascii="Calibri" w:hAnsi="Calibri" w:cs="Calibri"/>
              </w:rPr>
            </w:pPr>
            <w:r>
              <w:rPr>
                <w:rFonts w:ascii="Calibri" w:hAnsi="Calibri" w:cs="Calibri"/>
              </w:rPr>
              <w:t>X</w:t>
            </w:r>
          </w:p>
        </w:tc>
      </w:tr>
      <w:tr w:rsidR="00293783" w:rsidRPr="009C4D10" w14:paraId="17DAFD7B" w14:textId="77777777" w:rsidTr="16E45F72">
        <w:trPr>
          <w:trHeight w:val="300"/>
        </w:trPr>
        <w:tc>
          <w:tcPr>
            <w:tcW w:w="1065" w:type="dxa"/>
            <w:vAlign w:val="center"/>
          </w:tcPr>
          <w:p w14:paraId="7435CCC4" w14:textId="7751F044" w:rsidR="00293783" w:rsidRPr="00CF2E7C" w:rsidRDefault="00293783" w:rsidP="00293783">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293783" w:rsidRPr="00CF2E7C" w:rsidRDefault="00293783" w:rsidP="00293783">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293783" w:rsidRPr="00CF2E7C" w:rsidRDefault="00293783" w:rsidP="00293783">
            <w:pPr>
              <w:rPr>
                <w:rFonts w:ascii="Calibri" w:hAnsi="Calibri" w:cs="Calibri"/>
              </w:rPr>
            </w:pPr>
          </w:p>
        </w:tc>
        <w:tc>
          <w:tcPr>
            <w:tcW w:w="1455" w:type="dxa"/>
            <w:gridSpan w:val="2"/>
            <w:vAlign w:val="center"/>
          </w:tcPr>
          <w:p w14:paraId="5AC2C5A5" w14:textId="77777777" w:rsidR="00293783" w:rsidRPr="00CF2E7C" w:rsidRDefault="00293783" w:rsidP="00293783">
            <w:pPr>
              <w:rPr>
                <w:rFonts w:ascii="Calibri" w:hAnsi="Calibri" w:cs="Calibri"/>
              </w:rPr>
            </w:pPr>
          </w:p>
        </w:tc>
        <w:tc>
          <w:tcPr>
            <w:tcW w:w="1505" w:type="dxa"/>
            <w:vAlign w:val="center"/>
          </w:tcPr>
          <w:p w14:paraId="7D2537CF" w14:textId="2CE4DBF1" w:rsidR="00293783" w:rsidRPr="00CF2E7C" w:rsidRDefault="00293783" w:rsidP="00293783">
            <w:pPr>
              <w:rPr>
                <w:rFonts w:ascii="Calibri" w:hAnsi="Calibri" w:cs="Calibri"/>
              </w:rPr>
            </w:pPr>
            <w:r>
              <w:rPr>
                <w:rFonts w:ascii="Calibri" w:hAnsi="Calibri" w:cs="Calibri"/>
              </w:rPr>
              <w:t>X</w:t>
            </w:r>
          </w:p>
        </w:tc>
      </w:tr>
      <w:tr w:rsidR="00293783" w:rsidRPr="009C4D10" w14:paraId="79E37C47" w14:textId="77777777" w:rsidTr="16E45F72">
        <w:trPr>
          <w:trHeight w:val="300"/>
        </w:trPr>
        <w:tc>
          <w:tcPr>
            <w:tcW w:w="1065" w:type="dxa"/>
            <w:vAlign w:val="center"/>
          </w:tcPr>
          <w:p w14:paraId="473B2622" w14:textId="38397B39" w:rsidR="00293783" w:rsidRPr="00CF2E7C" w:rsidRDefault="00293783" w:rsidP="00293783">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293783" w:rsidRPr="00CF2E7C" w:rsidRDefault="00293783" w:rsidP="00293783">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293783" w:rsidRPr="00CF2E7C" w:rsidRDefault="00293783" w:rsidP="00293783">
            <w:pPr>
              <w:rPr>
                <w:rFonts w:ascii="Calibri" w:hAnsi="Calibri" w:cs="Calibri"/>
              </w:rPr>
            </w:pPr>
          </w:p>
        </w:tc>
        <w:tc>
          <w:tcPr>
            <w:tcW w:w="1455" w:type="dxa"/>
            <w:gridSpan w:val="2"/>
            <w:vAlign w:val="center"/>
          </w:tcPr>
          <w:p w14:paraId="1D284466" w14:textId="77777777" w:rsidR="00293783" w:rsidRPr="00CF2E7C" w:rsidRDefault="00293783" w:rsidP="00293783">
            <w:pPr>
              <w:rPr>
                <w:rFonts w:ascii="Calibri" w:hAnsi="Calibri" w:cs="Calibri"/>
              </w:rPr>
            </w:pPr>
          </w:p>
        </w:tc>
        <w:tc>
          <w:tcPr>
            <w:tcW w:w="1505" w:type="dxa"/>
            <w:vAlign w:val="center"/>
          </w:tcPr>
          <w:p w14:paraId="2CD4C703" w14:textId="62D66EB6" w:rsidR="00293783" w:rsidRPr="00CF2E7C" w:rsidRDefault="00293783" w:rsidP="00293783">
            <w:pPr>
              <w:rPr>
                <w:rFonts w:ascii="Calibri" w:hAnsi="Calibri" w:cs="Calibri"/>
              </w:rPr>
            </w:pPr>
            <w:r>
              <w:rPr>
                <w:rFonts w:ascii="Calibri" w:hAnsi="Calibri" w:cs="Calibri"/>
              </w:rPr>
              <w:t>X</w:t>
            </w:r>
          </w:p>
        </w:tc>
      </w:tr>
      <w:tr w:rsidR="00293783" w:rsidRPr="009C4D10" w14:paraId="32DC1CDD" w14:textId="77777777" w:rsidTr="16E45F72">
        <w:trPr>
          <w:trHeight w:val="300"/>
        </w:trPr>
        <w:tc>
          <w:tcPr>
            <w:tcW w:w="1065" w:type="dxa"/>
            <w:vAlign w:val="center"/>
          </w:tcPr>
          <w:p w14:paraId="2723A6DB" w14:textId="67A7AD21" w:rsidR="00293783" w:rsidRPr="00CF2E7C" w:rsidRDefault="00293783" w:rsidP="00293783">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293783" w:rsidRPr="00CF2E7C" w:rsidRDefault="00293783" w:rsidP="00293783">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293783" w:rsidRPr="00CF2E7C" w:rsidRDefault="00293783" w:rsidP="00293783">
            <w:pPr>
              <w:rPr>
                <w:rFonts w:ascii="Calibri" w:hAnsi="Calibri" w:cs="Calibri"/>
              </w:rPr>
            </w:pPr>
          </w:p>
        </w:tc>
        <w:tc>
          <w:tcPr>
            <w:tcW w:w="1455" w:type="dxa"/>
            <w:gridSpan w:val="2"/>
            <w:vAlign w:val="center"/>
          </w:tcPr>
          <w:p w14:paraId="5A7414BC" w14:textId="77777777" w:rsidR="00293783" w:rsidRPr="00CF2E7C" w:rsidRDefault="00293783" w:rsidP="00293783">
            <w:pPr>
              <w:rPr>
                <w:rFonts w:ascii="Calibri" w:hAnsi="Calibri" w:cs="Calibri"/>
              </w:rPr>
            </w:pPr>
          </w:p>
        </w:tc>
        <w:tc>
          <w:tcPr>
            <w:tcW w:w="1505" w:type="dxa"/>
            <w:vAlign w:val="center"/>
          </w:tcPr>
          <w:p w14:paraId="324C4411" w14:textId="576224DE" w:rsidR="00293783" w:rsidRPr="00CF2E7C" w:rsidRDefault="00293783" w:rsidP="00293783">
            <w:pPr>
              <w:rPr>
                <w:rFonts w:ascii="Calibri" w:hAnsi="Calibri" w:cs="Calibri"/>
              </w:rPr>
            </w:pPr>
            <w:r>
              <w:rPr>
                <w:rFonts w:ascii="Calibri" w:hAnsi="Calibri" w:cs="Calibri"/>
              </w:rPr>
              <w:t>X</w:t>
            </w:r>
          </w:p>
        </w:tc>
      </w:tr>
      <w:tr w:rsidR="00293783" w:rsidRPr="009C4D10" w14:paraId="719D5881" w14:textId="77777777" w:rsidTr="16E45F72">
        <w:trPr>
          <w:trHeight w:val="24"/>
        </w:trPr>
        <w:tc>
          <w:tcPr>
            <w:tcW w:w="1065" w:type="dxa"/>
            <w:vAlign w:val="center"/>
          </w:tcPr>
          <w:p w14:paraId="414C1836" w14:textId="32974EF8" w:rsidR="00293783" w:rsidRPr="00CF2E7C" w:rsidRDefault="00293783" w:rsidP="00293783">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293783" w:rsidRPr="00CF2E7C" w:rsidRDefault="00293783" w:rsidP="00293783">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293783" w:rsidRPr="00CF2E7C" w:rsidRDefault="00293783" w:rsidP="00293783">
            <w:pPr>
              <w:rPr>
                <w:rFonts w:ascii="Calibri" w:hAnsi="Calibri" w:cs="Calibri"/>
              </w:rPr>
            </w:pPr>
          </w:p>
        </w:tc>
        <w:tc>
          <w:tcPr>
            <w:tcW w:w="1455" w:type="dxa"/>
            <w:gridSpan w:val="2"/>
            <w:vAlign w:val="center"/>
          </w:tcPr>
          <w:p w14:paraId="52DD1FFC" w14:textId="77777777" w:rsidR="00293783" w:rsidRPr="00CF2E7C" w:rsidRDefault="00293783" w:rsidP="00293783">
            <w:pPr>
              <w:rPr>
                <w:rFonts w:ascii="Calibri" w:hAnsi="Calibri" w:cs="Calibri"/>
              </w:rPr>
            </w:pPr>
          </w:p>
        </w:tc>
        <w:tc>
          <w:tcPr>
            <w:tcW w:w="1505" w:type="dxa"/>
            <w:vAlign w:val="center"/>
          </w:tcPr>
          <w:p w14:paraId="0820E928" w14:textId="6B2D2FF0" w:rsidR="00293783" w:rsidRPr="00CF2E7C" w:rsidRDefault="00293783" w:rsidP="00293783">
            <w:pPr>
              <w:rPr>
                <w:rFonts w:ascii="Calibri" w:hAnsi="Calibri" w:cs="Calibri"/>
              </w:rPr>
            </w:pPr>
            <w:r>
              <w:rPr>
                <w:rFonts w:ascii="Calibri" w:hAnsi="Calibri" w:cs="Calibri"/>
              </w:rPr>
              <w:t>X</w:t>
            </w:r>
          </w:p>
        </w:tc>
      </w:tr>
      <w:tr w:rsidR="00D4323A" w:rsidRPr="009C4D10" w14:paraId="048B2A89" w14:textId="77777777" w:rsidTr="16E45F72">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16E45F72">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16E45F72">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16E45F72">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16E45F72">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16E45F72">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B078FAC" w:rsidR="00DD292A" w:rsidRPr="00CF2E7C" w:rsidRDefault="00D85057"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16E45F72">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4C1FB138" w:rsidR="00DD292A" w:rsidRPr="00CF2E7C" w:rsidRDefault="00D85057" w:rsidP="00CF2E7C">
            <w:pPr>
              <w:rPr>
                <w:rFonts w:ascii="Calibri" w:hAnsi="Calibri" w:cs="Calibri"/>
              </w:rPr>
            </w:pPr>
            <w:r>
              <w:rPr>
                <w:rFonts w:ascii="Calibri" w:hAnsi="Calibri" w:cs="Calibri"/>
              </w:rPr>
              <w:t>X</w:t>
            </w:r>
          </w:p>
        </w:tc>
      </w:tr>
      <w:tr w:rsidR="00D85057" w:rsidRPr="009C4D10" w14:paraId="16E91DFA" w14:textId="77777777" w:rsidTr="16E45F72">
        <w:trPr>
          <w:trHeight w:val="35"/>
        </w:trPr>
        <w:tc>
          <w:tcPr>
            <w:tcW w:w="1065" w:type="dxa"/>
            <w:vAlign w:val="center"/>
          </w:tcPr>
          <w:p w14:paraId="5770A979" w14:textId="3E8A8F56" w:rsidR="00D85057" w:rsidRPr="00CF2E7C" w:rsidRDefault="00D85057" w:rsidP="00D85057">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85057" w:rsidRPr="00CF2E7C" w:rsidRDefault="00D85057" w:rsidP="00D85057">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85057" w:rsidRPr="00CF2E7C" w:rsidRDefault="00D85057" w:rsidP="00D85057">
            <w:pPr>
              <w:rPr>
                <w:rFonts w:ascii="Calibri" w:hAnsi="Calibri" w:cs="Calibri"/>
              </w:rPr>
            </w:pPr>
          </w:p>
        </w:tc>
        <w:tc>
          <w:tcPr>
            <w:tcW w:w="1455" w:type="dxa"/>
            <w:gridSpan w:val="2"/>
            <w:vAlign w:val="center"/>
          </w:tcPr>
          <w:p w14:paraId="4FF5C987" w14:textId="77777777" w:rsidR="00D85057" w:rsidRPr="00CF2E7C" w:rsidRDefault="00D85057" w:rsidP="00D85057">
            <w:pPr>
              <w:rPr>
                <w:rFonts w:ascii="Calibri" w:hAnsi="Calibri" w:cs="Calibri"/>
              </w:rPr>
            </w:pPr>
          </w:p>
        </w:tc>
        <w:tc>
          <w:tcPr>
            <w:tcW w:w="1505" w:type="dxa"/>
          </w:tcPr>
          <w:p w14:paraId="2341305D" w14:textId="3EF0895E" w:rsidR="00D85057" w:rsidRPr="00CF2E7C" w:rsidRDefault="00D85057" w:rsidP="00D85057">
            <w:pPr>
              <w:rPr>
                <w:rFonts w:ascii="Calibri" w:hAnsi="Calibri" w:cs="Calibri"/>
              </w:rPr>
            </w:pPr>
            <w:r w:rsidRPr="00944617">
              <w:rPr>
                <w:rFonts w:ascii="Calibri" w:hAnsi="Calibri" w:cs="Calibri"/>
              </w:rPr>
              <w:t>X</w:t>
            </w:r>
          </w:p>
        </w:tc>
      </w:tr>
      <w:tr w:rsidR="00D85057" w:rsidRPr="009C4D10" w14:paraId="6EA2AFE0" w14:textId="77777777" w:rsidTr="16E45F72">
        <w:trPr>
          <w:trHeight w:val="35"/>
        </w:trPr>
        <w:tc>
          <w:tcPr>
            <w:tcW w:w="1065" w:type="dxa"/>
            <w:vAlign w:val="center"/>
          </w:tcPr>
          <w:p w14:paraId="082FD086" w14:textId="0D756AE9" w:rsidR="00D85057" w:rsidRPr="00CF2E7C" w:rsidRDefault="00D85057" w:rsidP="00D85057">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85057" w:rsidRPr="00CF2E7C" w:rsidRDefault="00D85057" w:rsidP="00D85057">
            <w:pPr>
              <w:rPr>
                <w:rFonts w:ascii="Calibri" w:hAnsi="Calibri" w:cs="Calibri"/>
              </w:rPr>
            </w:pPr>
            <w:r w:rsidRPr="00CF2E7C">
              <w:rPr>
                <w:rFonts w:ascii="Calibri" w:hAnsi="Calibri" w:cs="Calibri"/>
              </w:rPr>
              <w:t>Asset Managers</w:t>
            </w:r>
          </w:p>
        </w:tc>
        <w:tc>
          <w:tcPr>
            <w:tcW w:w="1456" w:type="dxa"/>
            <w:vAlign w:val="center"/>
          </w:tcPr>
          <w:p w14:paraId="3BA0C0E8" w14:textId="77777777" w:rsidR="00D85057" w:rsidRPr="00CF2E7C" w:rsidRDefault="00D85057" w:rsidP="00D85057">
            <w:pPr>
              <w:rPr>
                <w:rFonts w:ascii="Calibri" w:hAnsi="Calibri" w:cs="Calibri"/>
              </w:rPr>
            </w:pPr>
          </w:p>
        </w:tc>
        <w:tc>
          <w:tcPr>
            <w:tcW w:w="1455" w:type="dxa"/>
            <w:gridSpan w:val="2"/>
            <w:vAlign w:val="center"/>
          </w:tcPr>
          <w:p w14:paraId="21154B2A" w14:textId="77777777" w:rsidR="00D85057" w:rsidRPr="00CF2E7C" w:rsidRDefault="00D85057" w:rsidP="00D85057">
            <w:pPr>
              <w:rPr>
                <w:rFonts w:ascii="Calibri" w:hAnsi="Calibri" w:cs="Calibri"/>
              </w:rPr>
            </w:pPr>
          </w:p>
        </w:tc>
        <w:tc>
          <w:tcPr>
            <w:tcW w:w="1505" w:type="dxa"/>
          </w:tcPr>
          <w:p w14:paraId="48F15DA7" w14:textId="2CD2AACC" w:rsidR="00D85057" w:rsidRPr="00CF2E7C" w:rsidRDefault="00D85057" w:rsidP="00D85057">
            <w:pPr>
              <w:rPr>
                <w:rFonts w:ascii="Calibri" w:hAnsi="Calibri" w:cs="Calibri"/>
              </w:rPr>
            </w:pPr>
            <w:r w:rsidRPr="00944617">
              <w:rPr>
                <w:rFonts w:ascii="Calibri" w:hAnsi="Calibri" w:cs="Calibri"/>
              </w:rPr>
              <w:t>X</w:t>
            </w:r>
          </w:p>
        </w:tc>
      </w:tr>
      <w:tr w:rsidR="00D85057" w:rsidRPr="009C4D10" w14:paraId="33CFEA62" w14:textId="77777777" w:rsidTr="16E45F72">
        <w:trPr>
          <w:trHeight w:val="35"/>
        </w:trPr>
        <w:tc>
          <w:tcPr>
            <w:tcW w:w="1065" w:type="dxa"/>
            <w:vAlign w:val="center"/>
          </w:tcPr>
          <w:p w14:paraId="724206E7" w14:textId="61AEAC7E" w:rsidR="00D85057" w:rsidRPr="00CF2E7C" w:rsidRDefault="00D85057" w:rsidP="00D85057">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85057" w:rsidRPr="00CF2E7C" w:rsidRDefault="00D85057" w:rsidP="00D85057">
            <w:pPr>
              <w:rPr>
                <w:rFonts w:ascii="Calibri" w:hAnsi="Calibri" w:cs="Calibri"/>
              </w:rPr>
            </w:pPr>
            <w:r w:rsidRPr="00CF2E7C">
              <w:rPr>
                <w:rFonts w:ascii="Calibri" w:hAnsi="Calibri" w:cs="Calibri"/>
              </w:rPr>
              <w:t>Pension Funds</w:t>
            </w:r>
          </w:p>
        </w:tc>
        <w:tc>
          <w:tcPr>
            <w:tcW w:w="1456" w:type="dxa"/>
            <w:vAlign w:val="center"/>
          </w:tcPr>
          <w:p w14:paraId="7A479C51" w14:textId="77777777" w:rsidR="00D85057" w:rsidRPr="00CF2E7C" w:rsidRDefault="00D85057" w:rsidP="00D85057">
            <w:pPr>
              <w:rPr>
                <w:rFonts w:ascii="Calibri" w:hAnsi="Calibri" w:cs="Calibri"/>
              </w:rPr>
            </w:pPr>
          </w:p>
        </w:tc>
        <w:tc>
          <w:tcPr>
            <w:tcW w:w="1455" w:type="dxa"/>
            <w:gridSpan w:val="2"/>
            <w:vAlign w:val="center"/>
          </w:tcPr>
          <w:p w14:paraId="2844CBF5" w14:textId="77777777" w:rsidR="00D85057" w:rsidRPr="00CF2E7C" w:rsidRDefault="00D85057" w:rsidP="00D85057">
            <w:pPr>
              <w:rPr>
                <w:rFonts w:ascii="Calibri" w:hAnsi="Calibri" w:cs="Calibri"/>
              </w:rPr>
            </w:pPr>
          </w:p>
        </w:tc>
        <w:tc>
          <w:tcPr>
            <w:tcW w:w="1505" w:type="dxa"/>
          </w:tcPr>
          <w:p w14:paraId="72514BA5" w14:textId="28EF312C" w:rsidR="00D85057" w:rsidRPr="00CF2E7C" w:rsidRDefault="00D85057" w:rsidP="00D85057">
            <w:pPr>
              <w:rPr>
                <w:rFonts w:ascii="Calibri" w:hAnsi="Calibri" w:cs="Calibri"/>
              </w:rPr>
            </w:pPr>
            <w:r w:rsidRPr="00944617">
              <w:rPr>
                <w:rFonts w:ascii="Calibri" w:hAnsi="Calibri" w:cs="Calibri"/>
              </w:rPr>
              <w:t>X</w:t>
            </w:r>
          </w:p>
        </w:tc>
      </w:tr>
      <w:tr w:rsidR="00DD292A" w:rsidRPr="009C4D10" w14:paraId="7B9E143E" w14:textId="77777777" w:rsidTr="16E45F72">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16E45F72">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16E45F72">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16E45F72">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16E45F72">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16E45F72">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16E45F72">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16E45F72">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16E45F72">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16E45F72">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16E45F72">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16E45F72">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16E45F72">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16E45F72">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16E45F72">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16E45F72">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16E45F72">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16E45F72">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16E45F72">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16E45F72">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16E45F72">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16E45F72">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16E45F72">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16E45F72">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16E45F72">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16E45F72">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16E45F72">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16E45F72">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16E45F72">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16E45F72">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16E45F72">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2BF1B4BA" w:rsidR="00DD292A" w:rsidRPr="00CF2E7C" w:rsidRDefault="00D37F91" w:rsidP="00D37F91">
            <w:pPr>
              <w:jc w:val="both"/>
              <w:rPr>
                <w:rFonts w:ascii="Calibri" w:hAnsi="Calibri" w:cs="Calibri"/>
              </w:rPr>
            </w:pPr>
            <w:r w:rsidRPr="00D37F91">
              <w:rPr>
                <w:rFonts w:ascii="Calibri" w:hAnsi="Calibri" w:cs="Calibri"/>
              </w:rPr>
              <w:t>The policy tool applies uniformly to all banks licensed and operating under the Law in Türkiye; including deposit banks, participation banks, and development and investment banks. There is no variation in duties or sectoral basis across the concerning banks; all are equally required to integrate climate-related financial risks into their governance, internal systems, capital and liquidity planning, and risk management frameworks, in accordance with the 12 principles set forth in the Guideline. While the implementation is expected to be proportionate to the size, complexity, and risk profile of each institution, the core obligations remain the same.</w:t>
            </w:r>
          </w:p>
        </w:tc>
      </w:tr>
      <w:tr w:rsidR="00DD292A" w:rsidRPr="009C4D10" w14:paraId="05E5DCEA" w14:textId="77777777" w:rsidTr="16E45F72">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16E45F72">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5D349D" w:rsidRPr="009C4D10" w14:paraId="448B8C11" w14:textId="77777777" w:rsidTr="16E45F72">
        <w:trPr>
          <w:trHeight w:val="620"/>
        </w:trPr>
        <w:tc>
          <w:tcPr>
            <w:tcW w:w="1065" w:type="dxa"/>
            <w:vAlign w:val="center"/>
          </w:tcPr>
          <w:p w14:paraId="6E65BA57" w14:textId="0D6DA2AD" w:rsidR="005D349D" w:rsidRPr="00CF2E7C" w:rsidRDefault="005D349D" w:rsidP="005D349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5D349D" w:rsidRPr="00CF2E7C" w:rsidRDefault="005D349D" w:rsidP="005D349D">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tcPr>
          <w:p w14:paraId="5A59DD4C" w14:textId="3AF616E0" w:rsidR="005D349D" w:rsidRPr="00CF2E7C" w:rsidRDefault="005D349D" w:rsidP="005D349D">
            <w:pPr>
              <w:rPr>
                <w:rFonts w:ascii="Calibri" w:hAnsi="Calibri" w:cs="Calibri"/>
              </w:rPr>
            </w:pPr>
            <w:r w:rsidRPr="00DA6BC5">
              <w:t>N/A - No employee threshold defined.</w:t>
            </w:r>
          </w:p>
        </w:tc>
      </w:tr>
      <w:tr w:rsidR="005D349D" w:rsidRPr="009C4D10" w14:paraId="7A547042" w14:textId="77777777" w:rsidTr="16E45F72">
        <w:trPr>
          <w:trHeight w:val="440"/>
        </w:trPr>
        <w:tc>
          <w:tcPr>
            <w:tcW w:w="1065" w:type="dxa"/>
            <w:vAlign w:val="center"/>
          </w:tcPr>
          <w:p w14:paraId="388951C0" w14:textId="6CD8D700" w:rsidR="005D349D" w:rsidRPr="00CF2E7C" w:rsidRDefault="005D349D" w:rsidP="005D349D">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5D349D" w:rsidRPr="00CF2E7C" w:rsidRDefault="005D349D" w:rsidP="005D349D">
            <w:pPr>
              <w:rPr>
                <w:rFonts w:ascii="Calibri" w:hAnsi="Calibri" w:cs="Calibri"/>
              </w:rPr>
            </w:pPr>
            <w:r w:rsidRPr="00CF2E7C">
              <w:rPr>
                <w:rFonts w:ascii="Calibri" w:hAnsi="Calibri" w:cs="Calibri"/>
              </w:rPr>
              <w:t>Minimum revenue (Enter minimum revenue)</w:t>
            </w:r>
          </w:p>
        </w:tc>
        <w:tc>
          <w:tcPr>
            <w:tcW w:w="4993" w:type="dxa"/>
            <w:gridSpan w:val="6"/>
          </w:tcPr>
          <w:p w14:paraId="5A15330D" w14:textId="0DD86F70" w:rsidR="005D349D" w:rsidRPr="00CF2E7C" w:rsidRDefault="005D349D" w:rsidP="005D349D">
            <w:pPr>
              <w:rPr>
                <w:rFonts w:ascii="Calibri" w:hAnsi="Calibri" w:cs="Calibri"/>
              </w:rPr>
            </w:pPr>
            <w:r w:rsidRPr="00DA6BC5">
              <w:t>N/A - No revenue threshold defined.</w:t>
            </w:r>
          </w:p>
        </w:tc>
      </w:tr>
      <w:tr w:rsidR="005D349D" w:rsidRPr="00E53255" w14:paraId="7FB41779" w14:textId="77777777" w:rsidTr="16E45F72">
        <w:trPr>
          <w:trHeight w:val="440"/>
        </w:trPr>
        <w:tc>
          <w:tcPr>
            <w:tcW w:w="1065" w:type="dxa"/>
            <w:vAlign w:val="center"/>
          </w:tcPr>
          <w:p w14:paraId="14637B75" w14:textId="403AD1E7" w:rsidR="005D349D" w:rsidRPr="00CF2E7C" w:rsidRDefault="005D349D" w:rsidP="005D349D">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5D349D" w:rsidRPr="00CF2E7C" w:rsidRDefault="005D349D" w:rsidP="005D349D">
            <w:pPr>
              <w:rPr>
                <w:rFonts w:ascii="Calibri" w:hAnsi="Calibri" w:cs="Calibri"/>
                <w:lang w:val="sv-SE"/>
              </w:rPr>
            </w:pPr>
            <w:r w:rsidRPr="00CF2E7C">
              <w:rPr>
                <w:rFonts w:ascii="Calibri" w:hAnsi="Calibri" w:cs="Calibri"/>
                <w:lang w:val="sv-SE"/>
              </w:rPr>
              <w:t>Minimum assets (Enter minimum assets)</w:t>
            </w:r>
          </w:p>
        </w:tc>
        <w:tc>
          <w:tcPr>
            <w:tcW w:w="4993" w:type="dxa"/>
            <w:gridSpan w:val="6"/>
          </w:tcPr>
          <w:p w14:paraId="29FA3AF2" w14:textId="4337C9EB" w:rsidR="005D349D" w:rsidRPr="00CF2E7C" w:rsidRDefault="005D349D" w:rsidP="005D349D">
            <w:pPr>
              <w:rPr>
                <w:rFonts w:ascii="Calibri" w:hAnsi="Calibri" w:cs="Calibri"/>
                <w:lang w:val="sv-SE"/>
              </w:rPr>
            </w:pPr>
            <w:r w:rsidRPr="00DA6BC5">
              <w:t>N/A - No asset threshold defined.</w:t>
            </w:r>
          </w:p>
        </w:tc>
      </w:tr>
      <w:tr w:rsidR="005D349D" w:rsidRPr="009C4D10" w14:paraId="4B4232A4" w14:textId="77777777" w:rsidTr="16E45F72">
        <w:trPr>
          <w:trHeight w:val="620"/>
        </w:trPr>
        <w:tc>
          <w:tcPr>
            <w:tcW w:w="1065" w:type="dxa"/>
            <w:vAlign w:val="center"/>
          </w:tcPr>
          <w:p w14:paraId="3AF57AB0" w14:textId="1FA87729" w:rsidR="005D349D" w:rsidRPr="00CF2E7C" w:rsidRDefault="005D349D" w:rsidP="005D349D">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5D349D" w:rsidRPr="00CF2E7C" w:rsidRDefault="005D349D" w:rsidP="005D349D">
            <w:pPr>
              <w:rPr>
                <w:rFonts w:ascii="Calibri" w:hAnsi="Calibri" w:cs="Calibri"/>
              </w:rPr>
            </w:pPr>
            <w:r w:rsidRPr="00CF2E7C">
              <w:rPr>
                <w:rFonts w:ascii="Calibri" w:hAnsi="Calibri" w:cs="Calibri"/>
              </w:rPr>
              <w:t>Minimum contract value (Enter minimum contract value)</w:t>
            </w:r>
          </w:p>
        </w:tc>
        <w:tc>
          <w:tcPr>
            <w:tcW w:w="4993" w:type="dxa"/>
            <w:gridSpan w:val="6"/>
          </w:tcPr>
          <w:p w14:paraId="5584306A" w14:textId="4E4A18FB" w:rsidR="005D349D" w:rsidRPr="00CF2E7C" w:rsidRDefault="005D349D" w:rsidP="005D349D">
            <w:pPr>
              <w:rPr>
                <w:rFonts w:ascii="Calibri" w:hAnsi="Calibri" w:cs="Calibri"/>
              </w:rPr>
            </w:pPr>
            <w:r w:rsidRPr="00DA6BC5">
              <w:t>N/A - No contract value threshold defined.</w:t>
            </w:r>
          </w:p>
        </w:tc>
      </w:tr>
      <w:tr w:rsidR="005D349D" w:rsidRPr="009C4D10" w14:paraId="6D98FD5A" w14:textId="77777777" w:rsidTr="16E45F72">
        <w:trPr>
          <w:trHeight w:val="440"/>
        </w:trPr>
        <w:tc>
          <w:tcPr>
            <w:tcW w:w="1065" w:type="dxa"/>
            <w:vAlign w:val="center"/>
          </w:tcPr>
          <w:p w14:paraId="459D9924" w14:textId="36609893" w:rsidR="005D349D" w:rsidRPr="00CF2E7C" w:rsidRDefault="005D349D" w:rsidP="005D349D">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5D349D" w:rsidRPr="00CF2E7C" w:rsidRDefault="005D349D" w:rsidP="005D349D">
            <w:pPr>
              <w:rPr>
                <w:rFonts w:ascii="Calibri" w:hAnsi="Calibri" w:cs="Calibri"/>
              </w:rPr>
            </w:pPr>
            <w:r w:rsidRPr="00CF2E7C">
              <w:rPr>
                <w:rFonts w:ascii="Calibri" w:hAnsi="Calibri" w:cs="Calibri"/>
              </w:rPr>
              <w:t>Entity is headquartered in the jurisdiction</w:t>
            </w:r>
          </w:p>
        </w:tc>
        <w:tc>
          <w:tcPr>
            <w:tcW w:w="4993" w:type="dxa"/>
            <w:gridSpan w:val="6"/>
          </w:tcPr>
          <w:p w14:paraId="4F82F25F" w14:textId="3235B218" w:rsidR="005D349D" w:rsidRPr="00CF2E7C" w:rsidRDefault="4F2B0AEA" w:rsidP="005D349D">
            <w:pPr>
              <w:rPr>
                <w:rFonts w:ascii="Calibri" w:hAnsi="Calibri" w:cs="Calibri"/>
              </w:rPr>
            </w:pPr>
            <w:r>
              <w:t xml:space="preserve">Applies to banks operating in Türkiye, and </w:t>
            </w:r>
            <w:r w:rsidR="2B4B8799" w:rsidRPr="16E45F72">
              <w:rPr>
                <w:rFonts w:ascii="Calibri" w:eastAsia="Calibri" w:hAnsi="Calibri" w:cs="Calibri"/>
              </w:rPr>
              <w:t xml:space="preserve">  branches of foreign banks located within Türkiye</w:t>
            </w:r>
            <w:r>
              <w:t>.</w:t>
            </w:r>
          </w:p>
        </w:tc>
      </w:tr>
      <w:tr w:rsidR="005D349D" w:rsidRPr="009C4D10" w14:paraId="250CFB33" w14:textId="77777777" w:rsidTr="16E45F72">
        <w:trPr>
          <w:trHeight w:val="350"/>
        </w:trPr>
        <w:tc>
          <w:tcPr>
            <w:tcW w:w="1065" w:type="dxa"/>
            <w:vAlign w:val="center"/>
          </w:tcPr>
          <w:p w14:paraId="213C538B" w14:textId="04CF66F7" w:rsidR="005D349D" w:rsidRPr="00CF2E7C" w:rsidRDefault="005D349D" w:rsidP="005D349D">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5D349D" w:rsidRPr="00CF2E7C" w:rsidRDefault="005D349D" w:rsidP="005D349D">
            <w:pPr>
              <w:rPr>
                <w:rFonts w:ascii="Calibri" w:hAnsi="Calibri" w:cs="Calibri"/>
              </w:rPr>
            </w:pPr>
            <w:r w:rsidRPr="00CF2E7C">
              <w:rPr>
                <w:rFonts w:ascii="Calibri" w:hAnsi="Calibri" w:cs="Calibri"/>
              </w:rPr>
              <w:t>Other</w:t>
            </w:r>
          </w:p>
        </w:tc>
        <w:tc>
          <w:tcPr>
            <w:tcW w:w="4993" w:type="dxa"/>
            <w:gridSpan w:val="6"/>
          </w:tcPr>
          <w:p w14:paraId="77716F29" w14:textId="50FE03C1" w:rsidR="005D349D" w:rsidRDefault="4F2B0AEA" w:rsidP="005D349D">
            <w:r>
              <w:t xml:space="preserve">Applies to all banks licensed by the BRSA operating in Türkiye and </w:t>
            </w:r>
            <w:r w:rsidR="627A8621" w:rsidRPr="16E45F72">
              <w:rPr>
                <w:rFonts w:ascii="Calibri" w:eastAsia="Calibri" w:hAnsi="Calibri" w:cs="Calibri"/>
              </w:rPr>
              <w:t xml:space="preserve"> branches of foreign banks located within Türkiye</w:t>
            </w:r>
            <w:r>
              <w:t>.</w:t>
            </w:r>
          </w:p>
          <w:p w14:paraId="00B7C4FE" w14:textId="37BBD752" w:rsidR="00487887" w:rsidRPr="00CF2E7C" w:rsidRDefault="00CD7BDE" w:rsidP="005D349D">
            <w:pPr>
              <w:rPr>
                <w:rFonts w:ascii="Calibri" w:hAnsi="Calibri" w:cs="Calibri"/>
              </w:rPr>
            </w:pPr>
            <w:r w:rsidRPr="00CD7BDE">
              <w:rPr>
                <w:rFonts w:ascii="Calibri" w:hAnsi="Calibri" w:cs="Calibri"/>
              </w:rPr>
              <w:t>The principles in the Guidelines are applied in a proportionate manner, taking into account the size, corporate structure, scope, and complexity of banks' activities.</w:t>
            </w:r>
          </w:p>
        </w:tc>
      </w:tr>
      <w:tr w:rsidR="00DD292A" w:rsidRPr="009C4D10" w14:paraId="7DABB7EF" w14:textId="77777777" w:rsidTr="16E45F72">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16E45F72">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59431D5F" w:rsidR="00DD292A" w:rsidRPr="00CF2E7C" w:rsidRDefault="00307E9B" w:rsidP="00CF2E7C">
            <w:pPr>
              <w:rPr>
                <w:rFonts w:ascii="Calibri" w:hAnsi="Calibri" w:cs="Calibri"/>
              </w:rPr>
            </w:pPr>
            <w:r>
              <w:rPr>
                <w:rFonts w:ascii="Calibri" w:hAnsi="Calibri" w:cs="Calibri"/>
              </w:rPr>
              <w:t>X</w:t>
            </w:r>
          </w:p>
        </w:tc>
      </w:tr>
      <w:tr w:rsidR="00DD292A" w:rsidRPr="009C4D10" w14:paraId="4F91F2AD" w14:textId="77777777" w:rsidTr="16E45F72">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16E45F72">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16E45F72">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16E45F72">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16E45F72">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16E45F72">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6503926" w:rsidR="00DD3B33" w:rsidRPr="00CF2E7C" w:rsidRDefault="00161EB3" w:rsidP="00CF2E7C">
            <w:pPr>
              <w:rPr>
                <w:rFonts w:ascii="Calibri" w:hAnsi="Calibri" w:cs="Calibri"/>
              </w:rPr>
            </w:pPr>
            <w:r>
              <w:rPr>
                <w:rFonts w:ascii="Calibri" w:hAnsi="Calibri" w:cs="Calibri"/>
              </w:rPr>
              <w:t>X</w:t>
            </w:r>
          </w:p>
        </w:tc>
      </w:tr>
      <w:tr w:rsidR="00DD3B33" w:rsidRPr="009C4D10" w14:paraId="75374B54" w14:textId="77777777" w:rsidTr="16E45F72">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3BE2F66E" w:rsidR="00DD3B33" w:rsidRPr="00CF2E7C" w:rsidRDefault="00DD3B33" w:rsidP="00CF2E7C">
            <w:pPr>
              <w:rPr>
                <w:rFonts w:ascii="Calibri" w:hAnsi="Calibri" w:cs="Calibri"/>
              </w:rPr>
            </w:pPr>
          </w:p>
        </w:tc>
      </w:tr>
      <w:tr w:rsidR="00DD3B33" w:rsidRPr="009C4D10" w14:paraId="4EB0AF77" w14:textId="77777777" w:rsidTr="16E45F72">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16E45F72">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16E45F72">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16E45F72">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17D924B3" w:rsidR="00DD3B33" w:rsidRPr="00CF2E7C" w:rsidRDefault="00DD3B33" w:rsidP="00CF2E7C">
            <w:pPr>
              <w:rPr>
                <w:rFonts w:ascii="Calibri" w:hAnsi="Calibri" w:cs="Calibri"/>
              </w:rPr>
            </w:pPr>
          </w:p>
        </w:tc>
      </w:tr>
      <w:tr w:rsidR="00DD3B33" w:rsidRPr="009C4D10" w14:paraId="6D216163" w14:textId="77777777" w:rsidTr="16E45F72">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16E45F72">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lastRenderedPageBreak/>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16E45F72">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16E45F72">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0D14A258" w:rsidR="00DD3B33" w:rsidRPr="00CF2E7C" w:rsidRDefault="00DD3B33" w:rsidP="00CF2E7C">
            <w:pPr>
              <w:rPr>
                <w:rFonts w:ascii="Calibri" w:hAnsi="Calibri" w:cs="Calibri"/>
              </w:rPr>
            </w:pPr>
          </w:p>
        </w:tc>
      </w:tr>
      <w:tr w:rsidR="00DD3B33" w:rsidRPr="009C4D10" w14:paraId="73A36949" w14:textId="77777777" w:rsidTr="16E45F72">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16E45F72">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720BCEEE" w14:textId="324E8F16" w:rsidR="00161EB3" w:rsidRPr="00161EB3" w:rsidRDefault="04572A1B" w:rsidP="0009644C">
            <w:pPr>
              <w:spacing w:line="259" w:lineRule="auto"/>
              <w:jc w:val="both"/>
              <w:rPr>
                <w:rFonts w:ascii="Calibri" w:hAnsi="Calibri" w:cs="Calibri"/>
                <w:lang w:val="en-US"/>
              </w:rPr>
            </w:pPr>
            <w:r w:rsidRPr="16E45F72">
              <w:rPr>
                <w:rFonts w:ascii="Calibri" w:hAnsi="Calibri" w:cs="Calibri"/>
                <w:lang w:val="en-US"/>
              </w:rPr>
              <w:t xml:space="preserve">The Guideline </w:t>
            </w:r>
            <w:r w:rsidR="2A10602E" w:rsidRPr="16E45F72">
              <w:rPr>
                <w:rFonts w:ascii="Calibri" w:eastAsia="Calibri" w:hAnsi="Calibri" w:cs="Calibri"/>
                <w:lang w:val="en-US"/>
              </w:rPr>
              <w:t xml:space="preserve"> does not appear to include a specific sanctions section or provisions that mandate punitive enforcement for non-compliance </w:t>
            </w:r>
            <w:r w:rsidRPr="16E45F72">
              <w:rPr>
                <w:rFonts w:ascii="Calibri" w:hAnsi="Calibri" w:cs="Calibri"/>
                <w:lang w:val="en-US"/>
              </w:rPr>
              <w:t>. However, it is issued pursuant to Article 93 of the Law</w:t>
            </w:r>
            <w:r w:rsidR="24221758" w:rsidRPr="16E45F72">
              <w:rPr>
                <w:rFonts w:ascii="Calibri" w:hAnsi="Calibri" w:cs="Calibri"/>
                <w:lang w:val="en-US"/>
              </w:rPr>
              <w:t xml:space="preserve"> and Article 7/A of the </w:t>
            </w:r>
            <w:r w:rsidR="3655F5E8" w:rsidRPr="16E45F72">
              <w:rPr>
                <w:rFonts w:ascii="Calibri" w:hAnsi="Calibri" w:cs="Calibri"/>
                <w:lang w:val="en-US"/>
              </w:rPr>
              <w:t>Regulation on the Procedures and Principles Regarding the Audit to be Conducted by the Banking Regulation and Supervision Agency (“</w:t>
            </w:r>
            <w:r w:rsidR="3655F5E8" w:rsidRPr="0009644C">
              <w:rPr>
                <w:rFonts w:ascii="Calibri" w:hAnsi="Calibri" w:cs="Calibri"/>
                <w:b/>
                <w:bCs/>
                <w:lang w:val="en-US"/>
              </w:rPr>
              <w:t>Regulation</w:t>
            </w:r>
            <w:r w:rsidR="42BB817D" w:rsidRPr="16E45F72">
              <w:rPr>
                <w:rFonts w:ascii="Calibri" w:hAnsi="Calibri" w:cs="Calibri"/>
                <w:b/>
                <w:bCs/>
                <w:lang w:val="en-US"/>
              </w:rPr>
              <w:t xml:space="preserve"> on the Procedures and Principles of Audit</w:t>
            </w:r>
            <w:r w:rsidR="3655F5E8" w:rsidRPr="16E45F72">
              <w:rPr>
                <w:rFonts w:ascii="Calibri" w:hAnsi="Calibri" w:cs="Calibri"/>
                <w:lang w:val="en-US"/>
              </w:rPr>
              <w:t>”);</w:t>
            </w:r>
            <w:r w:rsidRPr="16E45F72">
              <w:rPr>
                <w:rFonts w:ascii="Calibri" w:hAnsi="Calibri" w:cs="Calibri"/>
                <w:lang w:val="en-US"/>
              </w:rPr>
              <w:t xml:space="preserve"> which give BRSA the authority to impose binding regulations on banks operating in Türkiye. Non-compliance with such guidelines is therefore subject to the general enforcement and sanctioning framework set forth in the Law</w:t>
            </w:r>
            <w:r w:rsidR="3655F5E8" w:rsidRPr="16E45F72">
              <w:rPr>
                <w:rFonts w:ascii="Calibri" w:hAnsi="Calibri" w:cs="Calibri"/>
                <w:lang w:val="en-US"/>
              </w:rPr>
              <w:t xml:space="preserve"> and Regulation</w:t>
            </w:r>
            <w:r w:rsidR="42BB817D" w:rsidRPr="16E45F72">
              <w:rPr>
                <w:rFonts w:ascii="Calibri" w:hAnsi="Calibri" w:cs="Calibri"/>
                <w:lang w:val="en-US"/>
              </w:rPr>
              <w:t xml:space="preserve"> on the Procedures and Principles of Audit</w:t>
            </w:r>
            <w:r w:rsidRPr="16E45F72">
              <w:rPr>
                <w:rFonts w:ascii="Calibri" w:hAnsi="Calibri" w:cs="Calibri"/>
                <w:lang w:val="en-US"/>
              </w:rPr>
              <w:t>, which includes the following relevant provisions:</w:t>
            </w:r>
          </w:p>
          <w:p w14:paraId="6BF4AF82" w14:textId="2A802363" w:rsidR="00DD48BC" w:rsidRPr="00CF2E7C" w:rsidRDefault="00161EB3" w:rsidP="00161EB3">
            <w:pPr>
              <w:jc w:val="both"/>
              <w:rPr>
                <w:rFonts w:ascii="Calibri" w:hAnsi="Calibri" w:cs="Calibri"/>
              </w:rPr>
            </w:pPr>
            <w:r w:rsidRPr="00161EB3">
              <w:rPr>
                <w:rFonts w:ascii="Calibri" w:hAnsi="Calibri" w:cs="Calibri"/>
                <w:lang w:val="en-US"/>
              </w:rPr>
              <w:t>Monetary fines: As per Article 14</w:t>
            </w:r>
            <w:r w:rsidR="00CC3A53">
              <w:rPr>
                <w:rFonts w:ascii="Calibri" w:hAnsi="Calibri" w:cs="Calibri"/>
                <w:lang w:val="en-US"/>
              </w:rPr>
              <w:t>6</w:t>
            </w:r>
            <w:r w:rsidRPr="00161EB3">
              <w:rPr>
                <w:rFonts w:ascii="Calibri" w:hAnsi="Calibri" w:cs="Calibri"/>
                <w:lang w:val="en-US"/>
              </w:rPr>
              <w:t xml:space="preserve"> of the Law allows the imposition of administrative fines on banks that breach regulatory obligations issued by BRSA.</w:t>
            </w:r>
            <w:r w:rsidR="00CC3A53">
              <w:rPr>
                <w:rFonts w:ascii="Calibri" w:hAnsi="Calibri" w:cs="Calibri"/>
                <w:lang w:val="en-US"/>
              </w:rPr>
              <w:t xml:space="preserve"> </w:t>
            </w:r>
            <w:r w:rsidR="00D56AD9" w:rsidRPr="00D56AD9">
              <w:rPr>
                <w:rFonts w:ascii="Calibri" w:hAnsi="Calibri" w:cs="Calibri"/>
                <w:lang w:val="en-US"/>
              </w:rPr>
              <w:t xml:space="preserve">Furthermore, the </w:t>
            </w:r>
            <w:r w:rsidR="00311061">
              <w:rPr>
                <w:rFonts w:ascii="Calibri" w:hAnsi="Calibri" w:cs="Calibri"/>
                <w:lang w:val="en-US"/>
              </w:rPr>
              <w:t>Regulation on the Procedures and Principles of Audit</w:t>
            </w:r>
            <w:r w:rsidR="00D56AD9" w:rsidRPr="00D56AD9">
              <w:rPr>
                <w:rFonts w:ascii="Calibri" w:hAnsi="Calibri" w:cs="Calibri"/>
                <w:lang w:val="en-US"/>
              </w:rPr>
              <w:t xml:space="preserve"> does not prescribe any specific penalties. However, it has been issued based on Articles 27 and 29 of the Law on Bank Cards and Credit Cards. Accordingly, the monetary sanctions applicable to the relevant provisions are stipulated under subparagraphs (g) and (h) of Article 34 of the same Law.</w:t>
            </w:r>
          </w:p>
        </w:tc>
      </w:tr>
      <w:tr w:rsidR="00DD292A" w:rsidRPr="009C4D10" w14:paraId="4AEB9761" w14:textId="77777777" w:rsidTr="16E45F72">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16E45F72">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16E45F72">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16E45F72">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16E45F72">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16E45F72">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50417F23"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r w:rsidR="00426417" w:rsidRPr="00CF2E7C">
              <w:rPr>
                <w:rFonts w:ascii="Calibri" w:hAnsi="Calibri" w:cs="Calibri"/>
              </w:rPr>
              <w:t xml:space="preserve">the </w:t>
            </w:r>
            <w:r w:rsidR="00426417" w:rsidRPr="00CF2E7C">
              <w:rPr>
                <w:rFonts w:ascii="Calibri" w:eastAsia="Times New Roman" w:hAnsi="Calibri" w:cs="Calibri"/>
                <w:b/>
                <w:bCs/>
                <w:color w:val="7030A0"/>
                <w:kern w:val="0"/>
                <w:lang w:val="en-SG" w:eastAsia="en-GB"/>
                <w14:ligatures w14:val="none"/>
              </w:rPr>
              <w:t>policy</w:t>
            </w:r>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16E45F72">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553BA6E9" w:rsidR="00DD292A" w:rsidRPr="00CF2E7C" w:rsidRDefault="00426417" w:rsidP="00CF2E7C">
            <w:pPr>
              <w:rPr>
                <w:rFonts w:ascii="Calibri" w:hAnsi="Calibri" w:cs="Calibri"/>
              </w:rPr>
            </w:pPr>
            <w:r>
              <w:rPr>
                <w:rFonts w:ascii="Calibri" w:hAnsi="Calibri" w:cs="Calibri"/>
              </w:rPr>
              <w:t>X</w:t>
            </w:r>
          </w:p>
        </w:tc>
      </w:tr>
      <w:tr w:rsidR="00DD292A" w:rsidRPr="009C4D10" w14:paraId="15ACEF81" w14:textId="77777777" w:rsidTr="16E45F72">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lastRenderedPageBreak/>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16E45F72">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16E45F72">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4751231F" w:rsidR="00DD292A" w:rsidRPr="00CF2E7C" w:rsidRDefault="1114D0AE" w:rsidP="00426417">
            <w:pPr>
              <w:jc w:val="both"/>
              <w:rPr>
                <w:rFonts w:ascii="Calibri" w:hAnsi="Calibri" w:cs="Calibri"/>
              </w:rPr>
            </w:pPr>
            <w:r w:rsidRPr="16E45F72">
              <w:rPr>
                <w:rFonts w:ascii="Calibri" w:hAnsi="Calibri" w:cs="Calibri"/>
              </w:rPr>
              <w:t>There is no publicly available evidence that the Guideline has been directly enforced through regulatory sanctions, penalties, or formal supervisory action by the BRSA</w:t>
            </w:r>
            <w:r w:rsidR="5D6F8CFB" w:rsidRPr="16E45F72">
              <w:rPr>
                <w:rFonts w:ascii="Calibri" w:hAnsi="Calibri" w:cs="Calibri"/>
              </w:rPr>
              <w:t xml:space="preserve"> as Guideline </w:t>
            </w:r>
            <w:r w:rsidR="44AB6486" w:rsidRPr="16E45F72">
              <w:rPr>
                <w:rFonts w:ascii="Calibri" w:hAnsi="Calibri" w:cs="Calibri"/>
              </w:rPr>
              <w:t>just entered</w:t>
            </w:r>
            <w:r w:rsidR="5D6F8CFB" w:rsidRPr="16E45F72">
              <w:rPr>
                <w:rFonts w:ascii="Calibri" w:hAnsi="Calibri" w:cs="Calibri"/>
              </w:rPr>
              <w:t xml:space="preserve"> in force</w:t>
            </w:r>
            <w:r w:rsidR="3ED9ABB7" w:rsidRPr="16E45F72">
              <w:rPr>
                <w:rFonts w:ascii="Calibri" w:hAnsi="Calibri" w:cs="Calibri"/>
              </w:rPr>
              <w:t xml:space="preserve"> on </w:t>
            </w:r>
            <w:r w:rsidRPr="16E45F72">
              <w:rPr>
                <w:rFonts w:ascii="Calibri" w:hAnsi="Calibri" w:cs="Calibri"/>
              </w:rPr>
              <w:t>July 1, 2025. Therefore, the implementation phase is still ongoing, and enforcement actions, if any, are likely to occur in the coming supervisory cycles. No known disputes or penalties related to this specific tool have been reported at this stage.</w:t>
            </w:r>
          </w:p>
        </w:tc>
      </w:tr>
      <w:tr w:rsidR="00DD292A" w:rsidRPr="009C4D10" w14:paraId="1993D475" w14:textId="77777777" w:rsidTr="16E45F72">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16E45F72">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07195CFA" w:rsidR="00DD292A" w:rsidRPr="00CF2E7C" w:rsidRDefault="00F35FD8" w:rsidP="00CF2E7C">
            <w:pPr>
              <w:rPr>
                <w:rFonts w:ascii="Calibri" w:hAnsi="Calibri" w:cs="Calibri"/>
              </w:rPr>
            </w:pPr>
            <w:r>
              <w:rPr>
                <w:rFonts w:ascii="Calibri" w:hAnsi="Calibri" w:cs="Calibri"/>
              </w:rPr>
              <w:t>X</w:t>
            </w:r>
          </w:p>
        </w:tc>
      </w:tr>
      <w:tr w:rsidR="00DD292A" w:rsidRPr="009C4D10" w14:paraId="3BEDB650" w14:textId="77777777" w:rsidTr="16E45F72">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16E45F72">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16E45F72">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0DEADCF0" w:rsidR="00DD292A" w:rsidRPr="00CF2E7C" w:rsidRDefault="3191B91B" w:rsidP="00E65918">
            <w:pPr>
              <w:jc w:val="both"/>
              <w:rPr>
                <w:rFonts w:ascii="Calibri" w:hAnsi="Calibri" w:cs="Calibri"/>
              </w:rPr>
            </w:pPr>
            <w:r w:rsidRPr="16E45F72">
              <w:rPr>
                <w:rFonts w:ascii="Calibri" w:hAnsi="Calibri" w:cs="Calibri"/>
                <w:lang w:val="en-US"/>
              </w:rPr>
              <w:t>Policy tool has not been the subject of any litigation or dispute so far</w:t>
            </w:r>
            <w:r w:rsidR="579AC546" w:rsidRPr="16E45F72">
              <w:rPr>
                <w:rFonts w:ascii="Calibri" w:hAnsi="Calibri" w:cs="Calibri"/>
                <w:lang w:val="en-US"/>
              </w:rPr>
              <w:t xml:space="preserve"> since it </w:t>
            </w:r>
            <w:r w:rsidR="42D77A96" w:rsidRPr="16E45F72">
              <w:rPr>
                <w:rFonts w:ascii="Calibri" w:hAnsi="Calibri" w:cs="Calibri"/>
                <w:lang w:val="en-US"/>
              </w:rPr>
              <w:t xml:space="preserve">recently got </w:t>
            </w:r>
            <w:r w:rsidR="579AC546" w:rsidRPr="16E45F72">
              <w:rPr>
                <w:rFonts w:ascii="Calibri" w:hAnsi="Calibri" w:cs="Calibri"/>
                <w:lang w:val="en-US"/>
              </w:rPr>
              <w:t>in force</w:t>
            </w:r>
            <w:r w:rsidR="4F1C04DD" w:rsidRPr="16E45F72">
              <w:rPr>
                <w:rFonts w:ascii="Calibri" w:hAnsi="Calibri" w:cs="Calibri"/>
                <w:lang w:val="en-US"/>
              </w:rPr>
              <w:t xml:space="preserve"> on July 1, 2025</w:t>
            </w:r>
            <w:r w:rsidR="579AC546" w:rsidRPr="16E45F72">
              <w:rPr>
                <w:rFonts w:ascii="Calibri" w:hAnsi="Calibri" w:cs="Calibri"/>
                <w:lang w:val="en-US"/>
              </w:rPr>
              <w:t>.</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Bal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5"/>
        <w:gridCol w:w="4681"/>
        <w:gridCol w:w="1080"/>
        <w:gridCol w:w="450"/>
        <w:gridCol w:w="1890"/>
        <w:gridCol w:w="1266"/>
      </w:tblGrid>
      <w:tr w:rsidR="009E1E61" w:rsidRPr="009C4D10" w14:paraId="237A4EF9" w14:textId="77777777" w:rsidTr="0009644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4D7BF706" w:rsidR="00410853" w:rsidRPr="00CF2E7C" w:rsidRDefault="008F5B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63A7D3EB"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BFB0B75" w:rsidR="00410853" w:rsidRPr="00CF2E7C" w:rsidRDefault="008F5B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6636AC">
              <w:rPr>
                <w:rFonts w:ascii="Calibri" w:eastAsia="Times New Roman" w:hAnsi="Calibri" w:cs="Calibri"/>
                <w:kern w:val="0"/>
                <w:lang w:eastAsia="en-GB"/>
                <w14:ligatures w14:val="none"/>
              </w:rPr>
              <w:t>X</w:t>
            </w:r>
          </w:p>
        </w:tc>
      </w:tr>
      <w:tr w:rsidR="00410853" w:rsidRPr="009C4D10" w14:paraId="5104EAC6"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517946E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6517A426" w:rsidRPr="00CF2E7C">
              <w:rPr>
                <w:rFonts w:ascii="Calibri" w:eastAsia="Times New Roman" w:hAnsi="Calibri" w:cs="Calibri"/>
                <w:kern w:val="0"/>
                <w:lang w:eastAsia="en-GB"/>
                <w14:ligatures w14:val="none"/>
              </w:rPr>
              <w:t>5.16.3</w:t>
            </w:r>
          </w:p>
        </w:tc>
        <w:tc>
          <w:tcPr>
            <w:tcW w:w="810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3377CEC1" w:rsidR="00410853" w:rsidRPr="00CF2E7C" w:rsidRDefault="008F5B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EA38F8">
              <w:rPr>
                <w:rFonts w:ascii="Calibri" w:eastAsia="Times New Roman" w:hAnsi="Calibri" w:cs="Calibri"/>
                <w:kern w:val="0"/>
                <w:lang w:eastAsia="en-GB"/>
                <w14:ligatures w14:val="none"/>
              </w:rPr>
              <w:t>X</w:t>
            </w:r>
          </w:p>
        </w:tc>
      </w:tr>
      <w:tr w:rsidR="00410853" w:rsidRPr="009C4D10" w14:paraId="6C47F160"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1D3B693F" w:rsidR="00410853" w:rsidRPr="00CF2E7C" w:rsidRDefault="00103A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410853" w:rsidRPr="009C4D10" w14:paraId="54335802"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vAlign w:val="center"/>
            <w:hideMark/>
          </w:tcPr>
          <w:p w14:paraId="50FF5024" w14:textId="5AC00118" w:rsidR="00410853" w:rsidRDefault="00103ADC" w:rsidP="00103ADC">
            <w:pPr>
              <w:jc w:val="both"/>
              <w:textAlignment w:val="baseline"/>
              <w:rPr>
                <w:rFonts w:ascii="Calibri" w:eastAsia="Times New Roman" w:hAnsi="Calibri" w:cs="Calibri"/>
                <w:kern w:val="0"/>
                <w:lang w:eastAsia="en-GB"/>
                <w14:ligatures w14:val="none"/>
              </w:rPr>
            </w:pPr>
            <w:r w:rsidRPr="00103ADC">
              <w:rPr>
                <w:rFonts w:ascii="Calibri" w:eastAsia="Times New Roman" w:hAnsi="Calibri" w:cs="Calibri"/>
                <w:kern w:val="0"/>
                <w:lang w:eastAsia="en-GB"/>
                <w14:ligatures w14:val="none"/>
              </w:rPr>
              <w:t xml:space="preserve">The </w:t>
            </w:r>
            <w:r w:rsidR="45936DD4" w:rsidRPr="00103ADC">
              <w:rPr>
                <w:rFonts w:ascii="Calibri" w:eastAsia="Times New Roman" w:hAnsi="Calibri" w:cs="Calibri"/>
                <w:kern w:val="0"/>
                <w:lang w:eastAsia="en-GB"/>
                <w14:ligatures w14:val="none"/>
              </w:rPr>
              <w:t xml:space="preserve">objective </w:t>
            </w:r>
            <w:r w:rsidR="45936DD4" w:rsidRPr="0009644C">
              <w:rPr>
                <w:rFonts w:eastAsiaTheme="minorEastAsia"/>
                <w:kern w:val="0"/>
                <w:lang w:eastAsia="en-GB"/>
                <w14:ligatures w14:val="none"/>
              </w:rPr>
              <w:t xml:space="preserve">of this </w:t>
            </w:r>
            <w:r w:rsidRPr="0009644C">
              <w:rPr>
                <w:rFonts w:eastAsiaTheme="minorEastAsia"/>
                <w:kern w:val="0"/>
                <w:lang w:eastAsia="en-GB"/>
                <w14:ligatures w14:val="none"/>
              </w:rPr>
              <w:t xml:space="preserve">policy tool </w:t>
            </w:r>
            <w:r w:rsidR="02A87FF6" w:rsidRPr="0009644C">
              <w:rPr>
                <w:rFonts w:eastAsiaTheme="minorEastAsia"/>
                <w:kern w:val="0"/>
                <w:lang w:eastAsia="en-GB"/>
                <w14:ligatures w14:val="none"/>
              </w:rPr>
              <w:t>i</w:t>
            </w:r>
            <w:r w:rsidR="02A87FF6" w:rsidRPr="0009644C">
              <w:rPr>
                <w:rFonts w:eastAsiaTheme="minorEastAsia"/>
              </w:rPr>
              <w:t xml:space="preserve">s to strengthen the </w:t>
            </w:r>
            <w:r w:rsidR="02A87FF6" w:rsidRPr="0009644C">
              <w:rPr>
                <w:rFonts w:eastAsiaTheme="minorEastAsia"/>
                <w:b/>
                <w:bCs/>
              </w:rPr>
              <w:t>resilience of the Turkish banking sector</w:t>
            </w:r>
            <w:r w:rsidR="02A87FF6" w:rsidRPr="0009644C">
              <w:rPr>
                <w:rFonts w:eastAsiaTheme="minorEastAsia"/>
              </w:rPr>
              <w:t xml:space="preserve"> to climate-related financial risks by establishing clear supervisory expectations for how these risks </w:t>
            </w:r>
            <w:r w:rsidR="02A87FF6" w:rsidRPr="0009644C">
              <w:rPr>
                <w:rFonts w:eastAsiaTheme="minorEastAsia"/>
              </w:rPr>
              <w:lastRenderedPageBreak/>
              <w:t>should be identified, assessed, managed, and monitored.</w:t>
            </w:r>
            <w:r w:rsidR="02A87FF6" w:rsidRPr="0009644C">
              <w:rPr>
                <w:rFonts w:eastAsiaTheme="minorEastAsia"/>
                <w:kern w:val="0"/>
                <w:lang w:eastAsia="en-GB"/>
                <w14:ligatures w14:val="none"/>
              </w:rPr>
              <w:t xml:space="preserve"> </w:t>
            </w:r>
            <w:r w:rsidR="056144A8" w:rsidRPr="0009644C">
              <w:rPr>
                <w:rFonts w:eastAsiaTheme="minorEastAsia"/>
              </w:rPr>
              <w:t xml:space="preserve">Core objectives are to (i) integrate climate risks into risk management frameworks, (ii) enhance scenario analysis and stress testing (iii) strengthen capital and liquidity planning and (iv) support financial stability and regulatory alignment </w:t>
            </w:r>
            <w:r w:rsidR="02A87FF6" w:rsidRPr="0009644C">
              <w:rPr>
                <w:rFonts w:eastAsiaTheme="minorEastAsia"/>
                <w:kern w:val="0"/>
                <w:lang w:eastAsia="en-GB"/>
                <w14:ligatures w14:val="none"/>
              </w:rPr>
              <w:t xml:space="preserve">It </w:t>
            </w:r>
            <w:r w:rsidRPr="0009644C">
              <w:rPr>
                <w:rFonts w:eastAsiaTheme="minorEastAsia"/>
                <w:lang w:eastAsia="en-GB"/>
              </w:rPr>
              <w:t>also ai</w:t>
            </w:r>
            <w:r w:rsidRPr="0AA0898F">
              <w:rPr>
                <w:rFonts w:ascii="Calibri" w:eastAsia="Times New Roman" w:hAnsi="Calibri" w:cs="Calibri"/>
                <w:lang w:eastAsia="en-GB"/>
              </w:rPr>
              <w:t>ms to strengthen banks’ internal data infrastructure, promote effective internal reporting on climate-related risks, and improve cross-functional coordination between departments. It encourages active engagement with clients and counterparties to collect relevant climate data and supports the integration of climate considerations into credit allocation, reputational risk, and strategic decision-making processes.</w:t>
            </w:r>
          </w:p>
          <w:p w14:paraId="127308B5" w14:textId="5E22D6F3" w:rsidR="0020286E" w:rsidRPr="00CF2E7C" w:rsidRDefault="0020286E" w:rsidP="0009644C">
            <w:pPr>
              <w:textAlignment w:val="baseline"/>
              <w:rPr>
                <w:rFonts w:ascii="Calibri" w:eastAsia="Times New Roman" w:hAnsi="Calibri" w:cs="Calibri"/>
                <w:kern w:val="0"/>
                <w:lang w:eastAsia="en-GB"/>
                <w14:ligatures w14:val="none"/>
              </w:rPr>
            </w:pPr>
          </w:p>
        </w:tc>
      </w:tr>
      <w:tr w:rsidR="00410853" w:rsidRPr="009C4D10" w14:paraId="518CE51E"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6517A42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5D65014D" w:rsidRPr="00CF2E7C">
              <w:rPr>
                <w:rFonts w:ascii="Calibri" w:eastAsia="Times New Roman" w:hAnsi="Calibri" w:cs="Calibri"/>
                <w:kern w:val="0"/>
                <w:lang w:eastAsia="en-GB"/>
                <w14:ligatures w14:val="none"/>
              </w:rPr>
              <w:t>5.18.1</w:t>
            </w:r>
          </w:p>
        </w:tc>
        <w:tc>
          <w:tcPr>
            <w:tcW w:w="46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6EC887FE" w:rsidR="00F632FB" w:rsidRPr="00CF2E7C" w:rsidRDefault="002725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5F04D004"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6517A42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5D65014D" w:rsidRPr="00CF2E7C">
              <w:rPr>
                <w:rFonts w:ascii="Calibri" w:eastAsia="Times New Roman" w:hAnsi="Calibri" w:cs="Calibri"/>
                <w:kern w:val="0"/>
                <w:lang w:eastAsia="en-GB"/>
                <w14:ligatures w14:val="none"/>
              </w:rPr>
              <w:t>5.18.2</w:t>
            </w:r>
          </w:p>
        </w:tc>
        <w:tc>
          <w:tcPr>
            <w:tcW w:w="46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4D57950A" w:rsidR="00F632FB" w:rsidRPr="00CF2E7C" w:rsidRDefault="002725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49947053"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6517A42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5D65014D" w:rsidRPr="00CF2E7C">
              <w:rPr>
                <w:rFonts w:ascii="Calibri" w:eastAsia="Times New Roman" w:hAnsi="Calibri" w:cs="Calibri"/>
                <w:kern w:val="0"/>
                <w:lang w:eastAsia="en-GB"/>
                <w14:ligatures w14:val="none"/>
              </w:rPr>
              <w:t>5.18.3</w:t>
            </w:r>
          </w:p>
        </w:tc>
        <w:tc>
          <w:tcPr>
            <w:tcW w:w="46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1C8CF9EF" w:rsidR="00F632FB" w:rsidRPr="00CF2E7C" w:rsidRDefault="002725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6B81EF91"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79BCF820" w:rsidR="00F632FB" w:rsidRPr="00CF2E7C" w:rsidRDefault="002725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4FCE513A"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7ACADFEE" w:rsidR="008C4722" w:rsidRPr="00CF2E7C" w:rsidRDefault="001716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4875314C"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43E57C8F" w:rsidR="008C4722" w:rsidRPr="00CF2E7C" w:rsidRDefault="001716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663031F7"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AA0898F">
              <w:rPr>
                <w:rFonts w:ascii="Calibri" w:eastAsia="Times New Roman" w:hAnsi="Calibri" w:cs="Calibri"/>
                <w:b/>
                <w:bCs/>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F14C05C" w:rsidR="008C4722" w:rsidRPr="00CF2E7C" w:rsidRDefault="00DE59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8C4722" w:rsidRPr="009C4D10" w14:paraId="30F53F46"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0D7B3B1" w:rsidR="008C4722" w:rsidRPr="00CF2E7C" w:rsidRDefault="00DE59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E842DF">
              <w:rPr>
                <w:rFonts w:ascii="Calibri" w:eastAsia="Times New Roman" w:hAnsi="Calibri" w:cs="Calibri"/>
                <w:kern w:val="0"/>
                <w:lang w:eastAsia="en-GB"/>
                <w14:ligatures w14:val="none"/>
              </w:rPr>
              <w:t>X</w:t>
            </w:r>
          </w:p>
        </w:tc>
      </w:tr>
      <w:tr w:rsidR="008C4722" w:rsidRPr="009C4D10" w14:paraId="2B5CE5B2"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09644C">
        <w:trPr>
          <w:trHeight w:val="1020"/>
        </w:trPr>
        <w:tc>
          <w:tcPr>
            <w:tcW w:w="1065"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vAlign w:val="center"/>
            <w:hideMark/>
          </w:tcPr>
          <w:p w14:paraId="47E36618" w14:textId="72BC5263" w:rsidR="00F55B57" w:rsidRDefault="00B517AD" w:rsidP="00B517AD">
            <w:pPr>
              <w:jc w:val="both"/>
              <w:textAlignment w:val="baseline"/>
              <w:rPr>
                <w:rFonts w:ascii="Calibri" w:eastAsia="Times New Roman" w:hAnsi="Calibri" w:cs="Calibri"/>
                <w:kern w:val="0"/>
                <w:lang w:eastAsia="en-GB"/>
                <w14:ligatures w14:val="none"/>
              </w:rPr>
            </w:pPr>
            <w:r w:rsidRPr="00B517AD">
              <w:rPr>
                <w:rFonts w:ascii="Calibri" w:eastAsia="Times New Roman" w:hAnsi="Calibri" w:cs="Calibri"/>
                <w:kern w:val="0"/>
                <w:lang w:eastAsia="en-GB"/>
                <w14:ligatures w14:val="none"/>
              </w:rPr>
              <w:t xml:space="preserve">Article 5 of the Guideline defines climate-related financial risks, encompassing both physical and transition drivers, and clarifies how they can transmit to banks’ balance sheets; Principles 3 (Articles 6–11) then embed these risks in governance, obliging boards to integrate them into strategy and risk appetite, while Principle 5 (Articles 17–20) requires their inclusion in the Internal Capital and Liquidity Adequacy Assessment Process through severe-but-plausible stress scenarios. Principle 6 (Articles 21–24) directs banks to set internal limits, develop key risk indicators and track sectoral and geographic concentrations, Principle 7 (Articles 25–28) mandates robust data collection and timely internal reporting to senior management, and Principle 12 (Articles 38–42) institutes forward-looking scenario analysis to test business-model resilience under different climate pathways. </w:t>
            </w:r>
          </w:p>
          <w:p w14:paraId="39FC6AFA" w14:textId="0B703C08" w:rsidR="00F55B57" w:rsidRPr="00CF2E7C" w:rsidRDefault="00732898" w:rsidP="00B517AD">
            <w:pPr>
              <w:jc w:val="both"/>
              <w:textAlignment w:val="baseline"/>
              <w:rPr>
                <w:rFonts w:ascii="Calibri" w:eastAsia="Times New Roman" w:hAnsi="Calibri" w:cs="Calibri"/>
                <w:kern w:val="0"/>
                <w:lang w:eastAsia="en-GB"/>
                <w14:ligatures w14:val="none"/>
              </w:rPr>
            </w:pPr>
            <w:r w:rsidRPr="00732898">
              <w:rPr>
                <w:rFonts w:ascii="Calibri" w:eastAsia="Times New Roman" w:hAnsi="Calibri" w:cs="Calibri"/>
                <w:kern w:val="0"/>
                <w:lang w:eastAsia="en-GB"/>
                <w14:ligatures w14:val="none"/>
              </w:rPr>
              <w:t>The policy tool requires banks to integrate climate-related financial risks, both physical and transition, into their governance, risk management, and capital planning frameworks. It mandates the identification, assessment, monitoring and mitigation of these risks through internal processes such as scenario analysis and risk reporting.</w:t>
            </w:r>
          </w:p>
        </w:tc>
      </w:tr>
      <w:tr w:rsidR="008C4722" w:rsidRPr="009C4D10" w14:paraId="71CCB51A"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03E9D77" w:rsidR="008C4722" w:rsidRPr="00CF2E7C" w:rsidRDefault="008D02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280C20ED"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09644C">
        <w:trPr>
          <w:trHeight w:val="1020"/>
        </w:trPr>
        <w:tc>
          <w:tcPr>
            <w:tcW w:w="1065"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C960DA6" w:rsidR="008C4722" w:rsidRPr="00CF2E7C" w:rsidRDefault="00FE2712" w:rsidP="00FE2712">
            <w:pPr>
              <w:jc w:val="both"/>
              <w:textAlignment w:val="baseline"/>
              <w:rPr>
                <w:rFonts w:ascii="Calibri" w:eastAsia="Times New Roman" w:hAnsi="Calibri" w:cs="Calibri"/>
                <w:kern w:val="0"/>
                <w:lang w:eastAsia="en-GB"/>
                <w14:ligatures w14:val="none"/>
              </w:rPr>
            </w:pPr>
            <w:r w:rsidRPr="00FE2712">
              <w:rPr>
                <w:rFonts w:ascii="Calibri" w:eastAsia="Times New Roman" w:hAnsi="Calibri" w:cs="Calibri"/>
                <w:kern w:val="0"/>
                <w:lang w:eastAsia="en-GB"/>
                <w14:ligatures w14:val="none"/>
              </w:rPr>
              <w:t>The policy tool reflects the Pillar 2 framework of the Basel capital regulatory structure by requiring banks to integrate climate-related financial risks into their internal capital and liquidity adequacy assessment processes. In Principle 5 of the Guideline, specifically Articles 17 to 20, banks are instructed to assess the potential impact of climate-related risks on their capital requirements, to incorporate these risks into their internal capital planning, and to evaluate their effects under both baseline and stressed conditions. This approach aligns with the supervisory review process under Pillar 2, even though the Guide does not explicitly reference the Basel framework. There is no direct correspondence to Pillar 1 or Pillar 3.</w:t>
            </w:r>
          </w:p>
        </w:tc>
      </w:tr>
      <w:tr w:rsidR="008C4722" w:rsidRPr="009C4D10" w14:paraId="02E1440C"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19825C4D" w:rsidR="007B7DEE" w:rsidRPr="00CF2E7C" w:rsidRDefault="00990A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7B7DEE" w:rsidRPr="009C4D10" w14:paraId="6FF1185E"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09644C">
        <w:trPr>
          <w:trHeight w:val="1020"/>
        </w:trPr>
        <w:tc>
          <w:tcPr>
            <w:tcW w:w="1065"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2812087A" w:rsidR="00ED7E12" w:rsidRPr="00CF2E7C" w:rsidRDefault="00FE68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ED7E12" w:rsidRPr="009C4D10" w14:paraId="42341813"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54DEFACA" w:rsidR="00ED7E12" w:rsidRPr="00CF2E7C" w:rsidRDefault="00FE68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ED7E12" w:rsidRPr="009C4D10" w14:paraId="090D32D9"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09644C">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09644C">
        <w:trPr>
          <w:trHeight w:val="1020"/>
        </w:trPr>
        <w:tc>
          <w:tcPr>
            <w:tcW w:w="1065"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vAlign w:val="center"/>
            <w:hideMark/>
          </w:tcPr>
          <w:p w14:paraId="42FF8A1B" w14:textId="240627F8" w:rsidR="00ED7E12" w:rsidRPr="00CF2E7C" w:rsidRDefault="00FE684E" w:rsidP="00FE684E">
            <w:pPr>
              <w:jc w:val="both"/>
              <w:textAlignment w:val="baseline"/>
              <w:rPr>
                <w:rFonts w:ascii="Calibri" w:eastAsia="Times New Roman" w:hAnsi="Calibri" w:cs="Calibri"/>
                <w:kern w:val="0"/>
                <w:lang w:eastAsia="en-GB"/>
                <w14:ligatures w14:val="none"/>
              </w:rPr>
            </w:pPr>
            <w:r w:rsidRPr="00FE684E">
              <w:rPr>
                <w:rFonts w:ascii="Calibri" w:eastAsia="Times New Roman" w:hAnsi="Calibri" w:cs="Calibri"/>
                <w:kern w:val="0"/>
                <w:lang w:eastAsia="en-GB"/>
                <w14:ligatures w14:val="none"/>
              </w:rPr>
              <w:t>Compliance with the policy tool is primarily monitored through regulatory oversight by the BRSA, consistent with its supervisory mandate under the Law. While the Guideline itself does not define a separate verification mechanism, it is developed under the authority of Article 35 of the Regulation, which is operationalized through periodic supervisory reviews and reporting obligations under Articles 19, 31, 45, and 63. Additionally, Articles 25 to 28 of the Guideline require banks to establish internal data collection and reporting systems to monitor climate-related financial risks, constituting a form of self-reporting to internal management and, where applicable, to supervisors. However, the Guideline does not introduce a third-party assurance requirement or independent external verification mechanism.</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58"/>
        <w:gridCol w:w="4255"/>
        <w:gridCol w:w="180"/>
        <w:gridCol w:w="180"/>
        <w:gridCol w:w="1341"/>
        <w:gridCol w:w="120"/>
        <w:gridCol w:w="1582"/>
        <w:gridCol w:w="68"/>
        <w:gridCol w:w="1642"/>
      </w:tblGrid>
      <w:tr w:rsidR="009967D9" w:rsidRPr="009C4D10" w14:paraId="21D32086" w14:textId="77777777" w:rsidTr="0AA0898F">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371CD75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9696F">
              <w:rPr>
                <w:rFonts w:ascii="Calibri" w:eastAsia="Times New Roman" w:hAnsi="Calibri" w:cs="Calibri"/>
                <w:kern w:val="0"/>
                <w:lang w:eastAsia="en-GB"/>
                <w14:ligatures w14:val="none"/>
              </w:rPr>
              <w:t>X</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15E6ECD9" w14:textId="687DB0A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9696F">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1185F76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9696F">
              <w:rPr>
                <w:rFonts w:ascii="Calibri" w:eastAsia="Times New Roman" w:hAnsi="Calibri" w:cs="Calibri"/>
                <w:kern w:val="0"/>
                <w:lang w:eastAsia="en-GB"/>
                <w14:ligatures w14:val="none"/>
              </w:rPr>
              <w:t>X</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5B71C8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9696F">
              <w:rPr>
                <w:rFonts w:ascii="Calibri" w:eastAsia="Times New Roman" w:hAnsi="Calibri" w:cs="Calibri"/>
                <w:kern w:val="0"/>
                <w:lang w:eastAsia="en-GB"/>
                <w14:ligatures w14:val="none"/>
              </w:rPr>
              <w:t>X</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14C1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1DDD">
              <w:rPr>
                <w:rFonts w:ascii="Calibri" w:eastAsia="Times New Roman" w:hAnsi="Calibri" w:cs="Calibri"/>
                <w:kern w:val="0"/>
                <w:lang w:eastAsia="en-GB"/>
                <w14:ligatures w14:val="none"/>
              </w:rPr>
              <w:t>X</w:t>
            </w:r>
          </w:p>
        </w:tc>
      </w:tr>
      <w:tr w:rsidR="00702413" w:rsidRPr="009C4D10" w14:paraId="2FD170EE"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106DE02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1DDD">
              <w:rPr>
                <w:rFonts w:ascii="Calibri" w:eastAsia="Times New Roman" w:hAnsi="Calibri" w:cs="Calibri"/>
                <w:kern w:val="0"/>
                <w:lang w:eastAsia="en-GB"/>
                <w14:ligatures w14:val="none"/>
              </w:rPr>
              <w:t>X</w:t>
            </w:r>
          </w:p>
        </w:tc>
      </w:tr>
      <w:tr w:rsidR="00702413" w:rsidRPr="009C4D10" w14:paraId="16C49E76"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AA0898F">
        <w:trPr>
          <w:trHeight w:val="1020"/>
        </w:trPr>
        <w:tc>
          <w:tcPr>
            <w:tcW w:w="1058"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tcPr>
          <w:p w14:paraId="28CDC060" w14:textId="462CC769" w:rsidR="00A80131" w:rsidRPr="00CF2E7C" w:rsidRDefault="143C11F0" w:rsidP="0AA0898F">
            <w:pPr>
              <w:jc w:val="both"/>
              <w:textAlignment w:val="baseline"/>
              <w:rPr>
                <w:rFonts w:ascii="Calibri" w:eastAsia="Times New Roman" w:hAnsi="Calibri" w:cs="Calibri"/>
                <w:lang w:eastAsia="en-GB"/>
              </w:rPr>
            </w:pPr>
            <w:r w:rsidRPr="009D336A">
              <w:rPr>
                <w:rFonts w:ascii="Calibri" w:eastAsia="Times New Roman" w:hAnsi="Calibri" w:cs="Calibri"/>
                <w:kern w:val="0"/>
                <w:lang w:eastAsia="en-GB"/>
                <w14:ligatures w14:val="none"/>
              </w:rPr>
              <w:t xml:space="preserve">The policy tool requires that climate-related financial risks be explicitly assigned to senior management and board-level oversight functions, as outlined in Principle 2 and Articles 9 to 11 of the Guideline. It also recommends that institutions assess whether such risks should influence executive remuneration policies, as stated in Article 7. In Article 6, banks are required to identify both short and long-term impacts of climate-related risks on their business models and strategic objectives. Additionally, Articles 25 to 28 mandate the development of internal data infrastructure and risk reporting systems to ensure timely and accurate monitoring of climate-related exposures. </w:t>
            </w:r>
          </w:p>
          <w:p w14:paraId="27E9CD14" w14:textId="799D020A" w:rsidR="00A80131" w:rsidRPr="00CF2E7C" w:rsidRDefault="4DB2A970" w:rsidP="009D336A">
            <w:pPr>
              <w:jc w:val="both"/>
              <w:textAlignment w:val="baseline"/>
              <w:rPr>
                <w:rFonts w:ascii="Calibri" w:eastAsia="Times New Roman" w:hAnsi="Calibri" w:cs="Calibri"/>
                <w:kern w:val="0"/>
                <w:lang w:eastAsia="en-GB"/>
                <w14:ligatures w14:val="none"/>
              </w:rPr>
            </w:pPr>
            <w:r w:rsidRPr="009D336A">
              <w:rPr>
                <w:rFonts w:ascii="Calibri" w:eastAsia="Times New Roman" w:hAnsi="Calibri" w:cs="Calibri"/>
                <w:kern w:val="0"/>
                <w:lang w:eastAsia="en-GB"/>
                <w14:ligatures w14:val="none"/>
              </w:rPr>
              <w:t>In summary, t</w:t>
            </w:r>
            <w:r w:rsidRPr="0AA0898F">
              <w:rPr>
                <w:rFonts w:ascii="Calibri" w:eastAsia="Calibri" w:hAnsi="Calibri" w:cs="Calibri"/>
              </w:rPr>
              <w:t xml:space="preserve">he policy tool states that banks are expected to consider material physical and transition risk factors when developing and implementing their business strategies, analyze how physical risks may affect business continuity, and take climate-related material risks into account when preparing business continuity plans. It also expects banks to develop processes that assess the potential impact of climate-related financial risks on capital requirements during capital planning. However, </w:t>
            </w:r>
            <w:r w:rsidRPr="0009644C">
              <w:rPr>
                <w:rFonts w:ascii="Calibri" w:eastAsia="Calibri" w:hAnsi="Calibri" w:cs="Calibri"/>
              </w:rPr>
              <w:t>there is no explicit provision requiring or recommending the development of a specific transition plan.</w:t>
            </w:r>
            <w:r w:rsidRPr="009D336A">
              <w:rPr>
                <w:rFonts w:ascii="Calibri" w:eastAsia="Times New Roman" w:hAnsi="Calibri" w:cs="Calibri"/>
                <w:kern w:val="0"/>
                <w:lang w:eastAsia="en-GB"/>
                <w14:ligatures w14:val="none"/>
              </w:rPr>
              <w:t xml:space="preserve"> </w:t>
            </w:r>
          </w:p>
        </w:tc>
      </w:tr>
      <w:tr w:rsidR="00702413" w:rsidRPr="009C4D10" w14:paraId="21609321"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47B4548" w:rsidR="00C82860" w:rsidRPr="00CF2E7C" w:rsidRDefault="009718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0D83FE3F"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AA0898F">
        <w:trPr>
          <w:trHeight w:val="1020"/>
        </w:trPr>
        <w:tc>
          <w:tcPr>
            <w:tcW w:w="1058"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303FA712" w14:textId="3BF3834A" w:rsidR="00C82860" w:rsidRPr="00CF2E7C" w:rsidRDefault="000667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49043E9E"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AA0898F">
        <w:trPr>
          <w:trHeight w:val="1020"/>
        </w:trPr>
        <w:tc>
          <w:tcPr>
            <w:tcW w:w="1058"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45277F2" w:rsidR="00C82860" w:rsidRPr="00CF2E7C" w:rsidRDefault="0006671D" w:rsidP="0006671D">
            <w:pPr>
              <w:jc w:val="both"/>
              <w:textAlignment w:val="baseline"/>
              <w:rPr>
                <w:rFonts w:ascii="Calibri" w:eastAsia="Times New Roman" w:hAnsi="Calibri" w:cs="Calibri"/>
                <w:kern w:val="0"/>
                <w:lang w:eastAsia="en-GB"/>
                <w14:ligatures w14:val="none"/>
              </w:rPr>
            </w:pPr>
            <w:r w:rsidRPr="0006671D">
              <w:rPr>
                <w:rFonts w:ascii="Calibri" w:eastAsia="Times New Roman" w:hAnsi="Calibri" w:cs="Calibri"/>
                <w:kern w:val="0"/>
                <w:lang w:eastAsia="en-GB"/>
                <w14:ligatures w14:val="none"/>
              </w:rPr>
              <w:t>The policy tool requires climate-related risk assessments to be integrated into due diligence processes for new clients and transactions. Article 14 under Principle 4 of the Guideline states that climate-related risk evaluations are essential in key first-line processes such as customer acquisition, credit applications, credit allocation, and product approvals. These assessments must also be conducted throughout the client relationship and ongoing monitoring activities. This establishes a mandatory expectation that banks consider climate-related financial risks during their onboarding and approval workflows.</w:t>
            </w:r>
          </w:p>
        </w:tc>
      </w:tr>
      <w:tr w:rsidR="00C82860" w:rsidRPr="009C4D10" w14:paraId="64706D6E"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1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204B5E1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35668">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080BDCF3" w:rsidR="00C82860" w:rsidRPr="00CF2E7C" w:rsidRDefault="008356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4A281E48" w:rsidR="00C82860" w:rsidRPr="00CF2E7C" w:rsidRDefault="008356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001E9F5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35668">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681FC1F1" w14:textId="6066960C" w:rsidR="00C82860" w:rsidRPr="00CF2E7C" w:rsidRDefault="008356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C82860" w:rsidRPr="009C4D10" w14:paraId="56ADA481" w14:textId="77777777" w:rsidTr="0AA0898F">
        <w:trPr>
          <w:trHeight w:val="301"/>
        </w:trPr>
        <w:tc>
          <w:tcPr>
            <w:tcW w:w="1058"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AA0898F">
        <w:trPr>
          <w:trHeight w:val="1020"/>
        </w:trPr>
        <w:tc>
          <w:tcPr>
            <w:tcW w:w="1058"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hideMark/>
          </w:tcPr>
          <w:p w14:paraId="593BA361" w14:textId="3BD9C6C9" w:rsidR="00C82860" w:rsidRPr="00CF2E7C" w:rsidRDefault="00AD7E4C" w:rsidP="00AD7E4C">
            <w:pPr>
              <w:jc w:val="both"/>
              <w:textAlignment w:val="baseline"/>
              <w:rPr>
                <w:rFonts w:ascii="Calibri" w:eastAsia="Times New Roman" w:hAnsi="Calibri" w:cs="Calibri"/>
                <w:kern w:val="0"/>
                <w:lang w:eastAsia="en-GB"/>
                <w14:ligatures w14:val="none"/>
              </w:rPr>
            </w:pPr>
            <w:r w:rsidRPr="00AD7E4C">
              <w:rPr>
                <w:rFonts w:ascii="Calibri" w:eastAsia="Times New Roman" w:hAnsi="Calibri" w:cs="Calibri"/>
                <w:kern w:val="0"/>
                <w:lang w:eastAsia="en-GB"/>
                <w14:ligatures w14:val="none"/>
              </w:rPr>
              <w:t>The policy tool requires the use of metrics to identify and assess exposures to both climate physical and transition risks across geographic and sectoral dimensions. Article 22 under Principle 6 of the Guideline instructs banks to evaluate climate-related financial risks comprehensively and regularly, and to define clear materiality thresholds, explicitly emphasizing concentration risks by economic activity, sector, and geography. Moreover, Article 23 requires banks to develop key risk indicators for ongoing monitoring, which implicitly includes metric-based evaluation of high-risk segments. This structured, risk-sensitive approach is intended to support internal risk controls and escalation procedures.</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AA0898F">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410B39B8" w:rsidR="00655FF7" w:rsidRPr="00CF2E7C" w:rsidRDefault="00684A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655FF7" w:rsidRPr="009C4D10" w14:paraId="30077E3D"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1D554334" w:rsidR="003032A9" w:rsidRPr="00CF2E7C" w:rsidRDefault="00E551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032A9" w:rsidRPr="009C4D10" w14:paraId="14FA803F"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09644C">
        <w:trPr>
          <w:trHeight w:val="636"/>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33A4912C"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61AF9A8" w:rsidR="003D5104" w:rsidRPr="00CF2E7C" w:rsidRDefault="00F95E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D5104" w:rsidRPr="009C4D10" w14:paraId="28916744"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3C082DF2" w:rsidR="003D5104" w:rsidRPr="00CF2E7C" w:rsidRDefault="00F95E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D5104" w:rsidRPr="009C4D10" w14:paraId="048E172C"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AA0898F">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377FA898" w:rsidR="003D5104" w:rsidRPr="00CF2E7C" w:rsidRDefault="007042BB" w:rsidP="0009644C">
            <w:pPr>
              <w:jc w:val="both"/>
              <w:textAlignment w:val="baseline"/>
              <w:rPr>
                <w:rFonts w:ascii="Calibri" w:eastAsia="Times New Roman" w:hAnsi="Calibri" w:cs="Calibri"/>
                <w:kern w:val="0"/>
                <w:lang w:eastAsia="en-GB"/>
                <w14:ligatures w14:val="none"/>
              </w:rPr>
            </w:pPr>
            <w:r w:rsidRPr="007042BB">
              <w:rPr>
                <w:rFonts w:ascii="Calibri" w:eastAsia="Times New Roman" w:hAnsi="Calibri" w:cs="Calibri"/>
                <w:kern w:val="0"/>
                <w:lang w:eastAsia="en-GB"/>
                <w14:ligatures w14:val="none"/>
              </w:rPr>
              <w:t>As per the Stress Testing Guideline, banks are expected to develop their own stress-testing scenarios tailored to their risk profile, business model, and strategic objectives, in accordance with supervisory expectations. These scenarios may be based on internal data, expert judgment, and forward-looking macroeconomic or climate-related assumptions, but there is no obligation to use externally provided standardized scenarios.</w:t>
            </w:r>
          </w:p>
        </w:tc>
      </w:tr>
      <w:tr w:rsidR="003D5104" w:rsidRPr="009C4D10" w14:paraId="0BBE4F5C"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2585E456" w:rsidR="00BE1F9E" w:rsidRPr="00CF2E7C" w:rsidRDefault="00C201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E1F9E" w:rsidRPr="009C4D10" w14:paraId="2ACA9194"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AA0898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47068E1A" w:rsidR="00BE1F9E" w:rsidRPr="00CF2E7C" w:rsidRDefault="00D85275" w:rsidP="0009644C">
            <w:pPr>
              <w:jc w:val="both"/>
              <w:textAlignment w:val="baseline"/>
              <w:rPr>
                <w:rFonts w:ascii="Calibri" w:eastAsia="Times New Roman" w:hAnsi="Calibri" w:cs="Calibri"/>
                <w:kern w:val="0"/>
                <w:lang w:eastAsia="en-GB"/>
                <w14:ligatures w14:val="none"/>
              </w:rPr>
            </w:pPr>
            <w:r w:rsidRPr="00D85275">
              <w:rPr>
                <w:rFonts w:ascii="Calibri" w:eastAsia="Times New Roman" w:hAnsi="Calibri" w:cs="Calibri"/>
                <w:kern w:val="0"/>
                <w:lang w:eastAsia="en-GB"/>
                <w14:ligatures w14:val="none"/>
              </w:rPr>
              <w:t>The selection of scenarios for the stress-testing or scenario analysis exercise is determined internally by the regulated entity based on risk-based considerations. As stated under Principle 12 of the Stress Testing Guideline, banks are expected to use scenario analysis (including stress testing) where appropriate, to assess the resilience of their business models and strategies against potential climate-related developments. Paragraphs 65 to 74 further clarify that scenarios should reflect the institution’s specific risk profile, business strategy, and exposures to physical and transition risks. The Guideline does not mandate the use of standardized or externally provided scenarios but emphasizes the importance of designing institution-specific, forward-looking scenarios supported by internal assessments and expert judgment.</w:t>
            </w:r>
          </w:p>
        </w:tc>
      </w:tr>
      <w:tr w:rsidR="00BE1F9E" w:rsidRPr="009C4D10" w14:paraId="6B53C62A"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0DD044B7" w:rsidR="00DC31BF" w:rsidRPr="00CF2E7C" w:rsidRDefault="00CD4B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DC31BF" w:rsidRPr="009C4D10" w14:paraId="60C952E2"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AA0898F">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371B9488"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06DB6">
              <w:rPr>
                <w:rFonts w:ascii="Calibri" w:eastAsia="Times New Roman" w:hAnsi="Calibri" w:cs="Calibri"/>
                <w:kern w:val="0"/>
                <w:lang w:val="en-SG" w:eastAsia="en-GB"/>
                <w14:ligatures w14:val="none"/>
              </w:rPr>
              <w:t>X</w:t>
            </w:r>
          </w:p>
        </w:tc>
      </w:tr>
      <w:tr w:rsidR="0098226E" w:rsidRPr="009C4D10" w14:paraId="3E6968BD"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05E88FCC" w:rsidR="0098226E" w:rsidRPr="00CF2E7C" w:rsidRDefault="00306D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8226E" w:rsidRPr="009C4D10" w14:paraId="79DF86B1"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2FCCA333" w:rsidR="0098226E" w:rsidRPr="00CF2E7C" w:rsidRDefault="003C73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8226E" w:rsidRPr="009C4D10" w14:paraId="5D2985D1"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AA0898F">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1FAAB519" w:rsidR="00F10A6E" w:rsidRPr="00CF2E7C" w:rsidRDefault="008F23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10A6E" w:rsidRPr="009C4D10" w14:paraId="2987A724"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AA0898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ADF8627" w:rsidR="00F10A6E" w:rsidRPr="00CF2E7C" w:rsidRDefault="0059434E" w:rsidP="0009644C">
            <w:pPr>
              <w:jc w:val="both"/>
              <w:textAlignment w:val="baseline"/>
              <w:rPr>
                <w:rFonts w:ascii="Calibri" w:eastAsia="Times New Roman" w:hAnsi="Calibri" w:cs="Calibri"/>
                <w:kern w:val="0"/>
                <w:lang w:eastAsia="en-GB"/>
                <w14:ligatures w14:val="none"/>
              </w:rPr>
            </w:pPr>
            <w:r w:rsidRPr="0059434E">
              <w:rPr>
                <w:rFonts w:ascii="Calibri" w:eastAsia="Times New Roman" w:hAnsi="Calibri" w:cs="Calibri"/>
                <w:kern w:val="0"/>
                <w:lang w:eastAsia="en-GB"/>
                <w14:ligatures w14:val="none"/>
              </w:rPr>
              <w:t>While the policy tool does not prescribe a specific numerical time horizon for climate-related stress testing, Principle 12 of the Guideline emphasizes that banks must build adequate capacity and expertise to conduct climate scenario analysis in proportion to their size, business model, and complexity. Larger and more complex banks are expected to have more advanced analytical capabilities, which includes modelling over a range of time horizons. Furthermore, Principle 7 and paragraph 40 of the Stress Testing Guideline explicitly states that banks should use a minimum projection horizon of three years in their capital and liquidity planning reports. This reinforces the supervisory expectation that stress-testing exercises, particularly those related to climate risks, should incorporate longer-term scenarios extending beyond the traditional short-term planning cycle.</w:t>
            </w:r>
          </w:p>
        </w:tc>
      </w:tr>
      <w:tr w:rsidR="00F10A6E" w:rsidRPr="009C4D10" w14:paraId="0CD679BF"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3292F5A0" w:rsidR="00F26296" w:rsidRPr="00CF2E7C" w:rsidRDefault="000B01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26296" w:rsidRPr="009C4D10" w14:paraId="162191D8"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06E9204E" w:rsidR="00F26296" w:rsidRPr="00CF2E7C" w:rsidRDefault="000B01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26296" w:rsidRPr="009C4D10" w14:paraId="15DD8807"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AA0898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0D145212" w:rsidR="00F26296" w:rsidRPr="00CF2E7C" w:rsidRDefault="0079410C" w:rsidP="0009644C">
            <w:pPr>
              <w:jc w:val="both"/>
              <w:textAlignment w:val="baseline"/>
              <w:rPr>
                <w:rFonts w:ascii="Calibri" w:eastAsia="Times New Roman" w:hAnsi="Calibri" w:cs="Calibri"/>
                <w:kern w:val="0"/>
                <w:lang w:eastAsia="en-GB"/>
                <w14:ligatures w14:val="none"/>
              </w:rPr>
            </w:pPr>
            <w:r w:rsidRPr="0079410C">
              <w:rPr>
                <w:rFonts w:ascii="Calibri" w:eastAsia="Times New Roman" w:hAnsi="Calibri" w:cs="Calibri"/>
                <w:kern w:val="0"/>
                <w:lang w:eastAsia="en-GB"/>
                <w14:ligatures w14:val="none"/>
              </w:rPr>
              <w:t>The results of the stress-testing or scenario analysis exercise are used to inform both capital and liquidity planning decisions and to support climate-related governance and risk management frameworks. As per Article 43(</w:t>
            </w:r>
            <w:r w:rsidR="005D3FD2">
              <w:rPr>
                <w:rFonts w:ascii="Calibri" w:eastAsia="Times New Roman" w:hAnsi="Calibri" w:cs="Calibri"/>
                <w:kern w:val="0"/>
                <w:lang w:eastAsia="en-GB"/>
                <w14:ligatures w14:val="none"/>
              </w:rPr>
              <w:t>3</w:t>
            </w:r>
            <w:r w:rsidRPr="0079410C">
              <w:rPr>
                <w:rFonts w:ascii="Calibri" w:eastAsia="Times New Roman" w:hAnsi="Calibri" w:cs="Calibri"/>
                <w:kern w:val="0"/>
                <w:lang w:eastAsia="en-GB"/>
                <w14:ligatures w14:val="none"/>
              </w:rPr>
              <w:t>) of the Regulation on Internal Systems and Internal Capital Adequacy Assessment Process, stress-testing programs must include reporting mechanisms that support decision-making and management actions.</w:t>
            </w:r>
            <w:r w:rsidR="005D3FD2">
              <w:rPr>
                <w:rFonts w:ascii="Calibri" w:eastAsia="Times New Roman" w:hAnsi="Calibri" w:cs="Calibri"/>
                <w:kern w:val="0"/>
                <w:lang w:eastAsia="en-GB"/>
                <w14:ligatures w14:val="none"/>
              </w:rPr>
              <w:t xml:space="preserve"> </w:t>
            </w:r>
            <w:r w:rsidR="005D3FD2" w:rsidRPr="005D3FD2">
              <w:rPr>
                <w:rFonts w:ascii="Calibri" w:eastAsia="Times New Roman" w:hAnsi="Calibri" w:cs="Calibri"/>
                <w:kern w:val="0"/>
                <w:lang w:eastAsia="en-GB"/>
                <w14:ligatures w14:val="none"/>
              </w:rPr>
              <w:t>Article 43(1) of the Regulation also requires banks to establish a stress testing program to identify and measure financial risks and fragilities.</w:t>
            </w:r>
            <w:r w:rsidR="005D3FD2">
              <w:rPr>
                <w:rFonts w:ascii="Calibri" w:eastAsia="Times New Roman" w:hAnsi="Calibri" w:cs="Calibri"/>
                <w:kern w:val="0"/>
                <w:lang w:eastAsia="en-GB"/>
                <w14:ligatures w14:val="none"/>
              </w:rPr>
              <w:t xml:space="preserve"> Likewise</w:t>
            </w:r>
            <w:r w:rsidRPr="0079410C">
              <w:rPr>
                <w:rFonts w:ascii="Calibri" w:eastAsia="Times New Roman" w:hAnsi="Calibri" w:cs="Calibri"/>
                <w:kern w:val="0"/>
                <w:lang w:eastAsia="en-GB"/>
                <w14:ligatures w14:val="none"/>
              </w:rPr>
              <w:t xml:space="preserve">, Principle 16 of the Stress Testing Guideline explicitly requires that the outcomes of stress tests be incorporated into capital and liquidity planning processes and that they be reported to senior management and the board of directors. These requirements demonstrate that stress-testing results are not merely exploratory </w:t>
            </w:r>
            <w:r w:rsidR="005D3FD2" w:rsidRPr="0079410C">
              <w:rPr>
                <w:rFonts w:ascii="Calibri" w:eastAsia="Times New Roman" w:hAnsi="Calibri" w:cs="Calibri"/>
                <w:kern w:val="0"/>
                <w:lang w:eastAsia="en-GB"/>
                <w14:ligatures w14:val="none"/>
              </w:rPr>
              <w:t>tools but</w:t>
            </w:r>
            <w:r w:rsidRPr="0079410C">
              <w:rPr>
                <w:rFonts w:ascii="Calibri" w:eastAsia="Times New Roman" w:hAnsi="Calibri" w:cs="Calibri"/>
                <w:kern w:val="0"/>
                <w:lang w:eastAsia="en-GB"/>
                <w14:ligatures w14:val="none"/>
              </w:rPr>
              <w:t xml:space="preserve"> form an integral part of prudential risk management and strategic decision-making within financial institutions.</w:t>
            </w:r>
          </w:p>
        </w:tc>
      </w:tr>
      <w:tr w:rsidR="00F26296" w:rsidRPr="009C4D10" w14:paraId="7BEFFBF9"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AA0898F">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5C0051D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20349">
              <w:rPr>
                <w:rFonts w:ascii="Calibri" w:eastAsia="Times New Roman" w:hAnsi="Calibri" w:cs="Calibri"/>
                <w:kern w:val="0"/>
                <w:lang w:eastAsia="en-GB"/>
                <w14:ligatures w14:val="none"/>
              </w:rPr>
              <w:t>X</w:t>
            </w:r>
          </w:p>
        </w:tc>
      </w:tr>
      <w:tr w:rsidR="00F26296" w:rsidRPr="009C4D10" w14:paraId="3074A62C" w14:textId="77777777" w:rsidTr="0AA0898F">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6C84EE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20349">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64E25CB5" w:rsidR="00F26296" w:rsidRPr="00CF2E7C" w:rsidRDefault="00485D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285D5A1C" w:rsidR="00F26296" w:rsidRPr="00CF2E7C" w:rsidRDefault="00622AAA" w:rsidP="0009644C">
            <w:pPr>
              <w:jc w:val="both"/>
              <w:textAlignment w:val="baseline"/>
              <w:rPr>
                <w:rFonts w:ascii="Calibri" w:eastAsia="Times New Roman" w:hAnsi="Calibri" w:cs="Calibri"/>
                <w:kern w:val="0"/>
                <w:lang w:eastAsia="en-GB"/>
                <w14:ligatures w14:val="none"/>
              </w:rPr>
            </w:pPr>
            <w:r w:rsidRPr="00622AAA">
              <w:rPr>
                <w:rFonts w:ascii="Calibri" w:eastAsia="Times New Roman" w:hAnsi="Calibri" w:cs="Calibri"/>
                <w:kern w:val="0"/>
                <w:lang w:eastAsia="en-GB"/>
                <w14:ligatures w14:val="none"/>
              </w:rPr>
              <w:t>The policy tool requires the incorporation of climate-related risks into the Internal Capital Adequacy Assessment Process (</w:t>
            </w:r>
            <w:r>
              <w:rPr>
                <w:rFonts w:ascii="Calibri" w:eastAsia="Times New Roman" w:hAnsi="Calibri" w:cs="Calibri"/>
                <w:kern w:val="0"/>
                <w:lang w:eastAsia="en-GB"/>
                <w14:ligatures w14:val="none"/>
              </w:rPr>
              <w:t>“</w:t>
            </w:r>
            <w:r w:rsidRPr="0009644C">
              <w:rPr>
                <w:rFonts w:ascii="Calibri" w:eastAsia="Times New Roman" w:hAnsi="Calibri" w:cs="Calibri"/>
                <w:b/>
                <w:bCs/>
                <w:kern w:val="0"/>
                <w:lang w:eastAsia="en-GB"/>
                <w14:ligatures w14:val="none"/>
              </w:rPr>
              <w:t>ICAAP</w:t>
            </w:r>
            <w:r>
              <w:rPr>
                <w:rFonts w:ascii="Calibri" w:eastAsia="Times New Roman" w:hAnsi="Calibri" w:cs="Calibri"/>
                <w:kern w:val="0"/>
                <w:lang w:eastAsia="en-GB"/>
                <w14:ligatures w14:val="none"/>
              </w:rPr>
              <w:t>”</w:t>
            </w:r>
            <w:r w:rsidRPr="00622AAA">
              <w:rPr>
                <w:rFonts w:ascii="Calibri" w:eastAsia="Times New Roman" w:hAnsi="Calibri" w:cs="Calibri"/>
                <w:kern w:val="0"/>
                <w:lang w:eastAsia="en-GB"/>
                <w14:ligatures w14:val="none"/>
              </w:rPr>
              <w:t>). As stated in Principle 5 of the Guideline, banks must identify, quantify, and integrate material climate-related financial risks into their ICAAP, including through stress testing where appropriate (paragraphs 17–18). This obligation aligns with Articles 46 and 48 of the baseline Regulation, which require ICAAP to reflect the bank’s full risk profile, including emerging risks such as those arising from climate change.</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5539C6B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12F7">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24D86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12F7">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24023F73" w:rsidR="00B114FD" w:rsidRPr="00CF2E7C" w:rsidRDefault="005848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3D55DFC6" w:rsidR="00B114FD" w:rsidRPr="00CF2E7C" w:rsidRDefault="00F6160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7C15D6B7" w:rsidR="00B114FD" w:rsidRPr="00CF2E7C" w:rsidRDefault="003F1BE4" w:rsidP="0009644C">
            <w:pPr>
              <w:jc w:val="both"/>
              <w:textAlignment w:val="baseline"/>
              <w:rPr>
                <w:rFonts w:ascii="Calibri" w:eastAsia="Times New Roman" w:hAnsi="Calibri" w:cs="Calibri"/>
                <w:kern w:val="0"/>
                <w:lang w:eastAsia="en-GB"/>
                <w14:ligatures w14:val="none"/>
              </w:rPr>
            </w:pPr>
            <w:r w:rsidRPr="003F1BE4">
              <w:rPr>
                <w:rFonts w:ascii="Calibri" w:eastAsia="Times New Roman" w:hAnsi="Calibri" w:cs="Calibri"/>
                <w:kern w:val="0"/>
                <w:lang w:eastAsia="en-GB"/>
                <w14:ligatures w14:val="none"/>
              </w:rPr>
              <w:t>The policy tool recommends incorporating the impact of climate-related drivers into banks’ liquidity risk profiles. As per Principle 5 the Guideline, banks are expected to evaluate how climate-related financial risks may affect net cash outflows and liquidity buffers under normal and stressed conditions, including severe but plausible scenarios. The Guideline requires integrating such risks into the internal liquidity adequacy assessment process where they are likely to become material. This approach aims to ensure that liquidity risk management frameworks remain resilient to climate-driven disruptions over relevant time horizons.</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0AD4DDF5" w:rsidR="00B114FD" w:rsidRPr="00CF2E7C" w:rsidRDefault="007D001E" w:rsidP="0009644C">
            <w:pPr>
              <w:jc w:val="both"/>
              <w:textAlignment w:val="baseline"/>
              <w:rPr>
                <w:rFonts w:ascii="Calibri" w:eastAsia="Times New Roman" w:hAnsi="Calibri" w:cs="Calibri"/>
                <w:kern w:val="0"/>
                <w:lang w:eastAsia="en-GB"/>
                <w14:ligatures w14:val="none"/>
              </w:rPr>
            </w:pPr>
            <w:r w:rsidRPr="007D001E">
              <w:rPr>
                <w:rFonts w:ascii="Calibri" w:eastAsia="Times New Roman" w:hAnsi="Calibri" w:cs="Calibri"/>
                <w:kern w:val="0"/>
                <w:lang w:eastAsia="en-GB"/>
                <w14:ligatures w14:val="none"/>
              </w:rPr>
              <w:t>The policy tool recommends assessing the adequacy of liquidity buffers against climate-related risks through scenario analysis and stress testing. As stated in the Guideline, banks are required to evaluate the impact of climate-related financial risks, under both normal conditions and stress scenarios, including "severe but plausible" ones; on their net cash outflows and liquidity buffers. The Guideline highlights that if such risks are expected to become significant over time, they should be incorporated into the internal liquidity adequacy assessment process. This ensures that banks maintain sufficient liquidity under adverse climate-related developments.</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259E193D" w:rsidR="00702413" w:rsidRPr="009C4D10" w:rsidRDefault="00213A90" w:rsidP="00213A90">
            <w:pPr>
              <w:jc w:val="both"/>
              <w:textAlignment w:val="baseline"/>
              <w:rPr>
                <w:rFonts w:eastAsia="Times New Roman" w:cstheme="minorHAnsi"/>
                <w:kern w:val="0"/>
                <w:lang w:eastAsia="en-GB"/>
                <w14:ligatures w14:val="none"/>
              </w:rPr>
            </w:pPr>
            <w:r w:rsidRPr="00213A90">
              <w:rPr>
                <w:rFonts w:eastAsia="Times New Roman" w:cstheme="minorHAnsi"/>
                <w:kern w:val="0"/>
                <w:lang w:eastAsia="en-GB"/>
                <w14:ligatures w14:val="none"/>
              </w:rPr>
              <w:t>While the policy tool does not introduce quantitative capital charges or external disclosure mandates, it establishes a comprehensive and binding qualitative framework that integrates climate-related financial risks into all key aspects of banking supervision/governance, internal systems, capital planning, risk management, and scenario analysis. Notably, the policy tool applies a proportionality principle, allowing flexibility based on the size, complexity, and risk profile of the institution. Its structure is broadly aligned with international practices, particularly the Basel Committee’s Pillar 2 expectations, and serves as a foundational step toward further climate-related prudential regulation in Türkiye.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046B07A3" w:rsidR="00702413" w:rsidRPr="009C4D10" w:rsidRDefault="00002FD2" w:rsidP="00002FD2">
            <w:pPr>
              <w:jc w:val="both"/>
              <w:textAlignment w:val="baseline"/>
              <w:rPr>
                <w:rFonts w:eastAsia="Times New Roman" w:cstheme="minorHAnsi"/>
                <w:kern w:val="0"/>
                <w:lang w:eastAsia="en-GB"/>
                <w14:ligatures w14:val="none"/>
              </w:rPr>
            </w:pPr>
            <w:r w:rsidRPr="00002FD2">
              <w:rPr>
                <w:rFonts w:eastAsia="Times New Roman" w:cstheme="minorHAnsi"/>
                <w:kern w:val="0"/>
                <w:lang w:eastAsia="en-GB"/>
                <w14:ligatures w14:val="none"/>
              </w:rPr>
              <w:t>Key challenges in implementing the policy tool include the lack of concrete and detailed provisions on stress testing and capital requirements, which limits clarity on how these elements should be operationalized. Banks also face difficulties due to limited climate-related data, methodological uncertainty, and capacity constraints, particularly among smaller institutions. The absence of a national taxonomy and evolving supervisory expectations create further uncertainty for institutions in operationalizing the requirements effectively. Furthermore, the absence of clear enforcement mechanisms reduces the urgency and consistency of implementation across the sector.</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2F551FFE" w:rsidR="00FE0EA5" w:rsidRPr="009C4D10" w:rsidRDefault="00FE0EA5" w:rsidP="00CF2E7C">
            <w:pPr>
              <w:rPr>
                <w:rFonts w:cstheme="minorHAnsi"/>
              </w:rPr>
            </w:pPr>
            <w:r w:rsidRPr="009C4D10">
              <w:rPr>
                <w:rFonts w:cstheme="minorHAnsi"/>
                <w:lang w:val="en-SG"/>
              </w:rPr>
              <w:t> </w:t>
            </w:r>
            <w:r w:rsidRPr="009C4D10">
              <w:rPr>
                <w:rFonts w:cstheme="minorHAnsi"/>
              </w:rPr>
              <w:t> </w:t>
            </w:r>
            <w:r w:rsidR="00D31805">
              <w:rPr>
                <w:rFonts w:cstheme="minorHAnsi"/>
              </w:rPr>
              <w:t>X</w:t>
            </w:r>
          </w:p>
        </w:tc>
      </w:tr>
      <w:tr w:rsidR="00D3180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D31805" w:rsidRPr="009C4D10" w:rsidRDefault="00D31805" w:rsidP="00D31805">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D31805" w:rsidRPr="009C4D10" w:rsidRDefault="00D31805" w:rsidP="00D31805">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D31805" w:rsidRPr="009C4D10" w:rsidRDefault="00D31805" w:rsidP="00D31805">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D31805" w:rsidRPr="009C4D10" w:rsidRDefault="00D31805" w:rsidP="00D31805">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188D1950" w:rsidR="00D31805" w:rsidRPr="009C4D10" w:rsidRDefault="00D31805" w:rsidP="00D31805">
            <w:pPr>
              <w:rPr>
                <w:rFonts w:cstheme="minorHAnsi"/>
              </w:rPr>
            </w:pPr>
            <w:r w:rsidRPr="009C4D10">
              <w:rPr>
                <w:rFonts w:cstheme="minorHAnsi"/>
                <w:lang w:val="en-SG"/>
              </w:rPr>
              <w:t> </w:t>
            </w:r>
            <w:r w:rsidRPr="009C4D10">
              <w:rPr>
                <w:rFonts w:cstheme="minorHAnsi"/>
              </w:rPr>
              <w:t> </w:t>
            </w:r>
            <w:r>
              <w:rPr>
                <w:rFonts w:cstheme="minorHAnsi"/>
              </w:rPr>
              <w:t>X</w:t>
            </w:r>
          </w:p>
        </w:tc>
      </w:tr>
      <w:tr w:rsidR="00D3180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D31805" w:rsidRPr="009C4D10" w:rsidRDefault="00D31805" w:rsidP="00D31805">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D31805" w:rsidRPr="009C4D10" w:rsidRDefault="00D31805" w:rsidP="00D31805">
            <w:pPr>
              <w:rPr>
                <w:rFonts w:cstheme="minorHAnsi"/>
              </w:rPr>
            </w:pPr>
            <w:hyperlink r:id="rId22"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D31805" w:rsidRPr="009C4D10" w:rsidRDefault="00D31805" w:rsidP="00D31805">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D31805" w:rsidRPr="009C4D10" w:rsidRDefault="00D31805" w:rsidP="00D31805">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3A98E137" w:rsidR="00D31805" w:rsidRPr="009C4D10" w:rsidRDefault="00D31805" w:rsidP="00D31805">
            <w:pPr>
              <w:rPr>
                <w:rFonts w:cstheme="minorHAnsi"/>
              </w:rPr>
            </w:pPr>
            <w:r w:rsidRPr="009C4D10">
              <w:rPr>
                <w:rFonts w:cstheme="minorHAnsi"/>
                <w:lang w:val="en-SG"/>
              </w:rPr>
              <w:t> </w:t>
            </w:r>
            <w:r w:rsidRPr="009C4D10">
              <w:rPr>
                <w:rFonts w:cstheme="minorHAnsi"/>
              </w:rPr>
              <w:t> </w:t>
            </w:r>
            <w:r>
              <w:rPr>
                <w:rFonts w:cstheme="minorHAnsi"/>
              </w:rPr>
              <w:t>X</w:t>
            </w:r>
          </w:p>
        </w:tc>
      </w:tr>
      <w:tr w:rsidR="00D3180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D31805" w:rsidRPr="009C4D10" w:rsidRDefault="00D31805" w:rsidP="00D31805">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D31805" w:rsidRPr="009C4D10" w:rsidRDefault="00D31805" w:rsidP="00D31805">
            <w:pPr>
              <w:rPr>
                <w:rFonts w:cstheme="minorHAnsi"/>
              </w:rPr>
            </w:pPr>
            <w:hyperlink r:id="rId23"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D31805" w:rsidRPr="009C4D10" w:rsidRDefault="00D31805" w:rsidP="00D31805">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D31805" w:rsidRPr="009C4D10" w:rsidRDefault="00D31805" w:rsidP="00D31805">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4F4BF1A7" w:rsidR="00D31805" w:rsidRPr="009C4D10" w:rsidRDefault="00D31805" w:rsidP="00D31805">
            <w:pPr>
              <w:rPr>
                <w:rFonts w:cstheme="minorHAnsi"/>
              </w:rPr>
            </w:pPr>
            <w:r w:rsidRPr="009C4D10">
              <w:rPr>
                <w:rFonts w:cstheme="minorHAnsi"/>
                <w:lang w:val="en-SG"/>
              </w:rPr>
              <w:t> </w:t>
            </w:r>
            <w:r w:rsidRPr="009C4D10">
              <w:rPr>
                <w:rFonts w:cstheme="minorHAnsi"/>
              </w:rPr>
              <w:t> </w:t>
            </w:r>
            <w:r>
              <w:rPr>
                <w:rFonts w:cstheme="minorHAnsi"/>
              </w:rPr>
              <w:t>X</w:t>
            </w:r>
          </w:p>
        </w:tc>
      </w:tr>
      <w:tr w:rsidR="00D3180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D31805" w:rsidRPr="009C4D10" w:rsidRDefault="00D31805" w:rsidP="00D31805">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D31805" w:rsidRPr="009C4D10" w:rsidRDefault="00D31805" w:rsidP="00D31805">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D31805" w:rsidRPr="009C4D10" w:rsidRDefault="00D31805" w:rsidP="00D31805">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D31805" w:rsidRPr="009C4D10" w:rsidRDefault="00D31805" w:rsidP="00D31805">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3D58FBBD" w:rsidR="00D31805" w:rsidRPr="009C4D10" w:rsidRDefault="00D31805" w:rsidP="00D31805">
            <w:pPr>
              <w:rPr>
                <w:rFonts w:cstheme="minorHAnsi"/>
              </w:rPr>
            </w:pPr>
            <w:r w:rsidRPr="009C4D10">
              <w:rPr>
                <w:rFonts w:cstheme="minorHAnsi"/>
                <w:lang w:val="en-SG"/>
              </w:rPr>
              <w:t> </w:t>
            </w:r>
            <w:r w:rsidRPr="009C4D10">
              <w:rPr>
                <w:rFonts w:cstheme="minorHAnsi"/>
              </w:rPr>
              <w:t> </w:t>
            </w:r>
            <w:r>
              <w:rPr>
                <w:rFonts w:cstheme="minorHAnsi"/>
              </w:rPr>
              <w:t>X</w:t>
            </w:r>
          </w:p>
        </w:tc>
      </w:tr>
      <w:tr w:rsidR="00D3180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D31805" w:rsidRPr="009C4D10" w:rsidRDefault="00D31805" w:rsidP="00D31805">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D31805" w:rsidRPr="009C4D10" w:rsidRDefault="00D31805" w:rsidP="00D31805">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D31805" w:rsidRPr="009C4D10" w:rsidRDefault="00D31805" w:rsidP="00D31805">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D31805" w:rsidRPr="009C4D10" w:rsidRDefault="00D31805" w:rsidP="00D31805">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369B113E" w:rsidR="00D31805" w:rsidRPr="009C4D10" w:rsidRDefault="00D31805" w:rsidP="00D31805">
            <w:pPr>
              <w:rPr>
                <w:rFonts w:cstheme="minorHAnsi"/>
              </w:rPr>
            </w:pPr>
            <w:r w:rsidRPr="009C4D10">
              <w:rPr>
                <w:rFonts w:cstheme="minorHAnsi"/>
                <w:lang w:val="en-SG"/>
              </w:rPr>
              <w:t> </w:t>
            </w:r>
            <w:r w:rsidRPr="009C4D10">
              <w:rPr>
                <w:rFonts w:cstheme="minorHAnsi"/>
              </w:rPr>
              <w:t> </w:t>
            </w:r>
            <w:r>
              <w:rPr>
                <w:rFonts w:cstheme="minorHAnsi"/>
              </w:rPr>
              <w:t>X</w:t>
            </w:r>
          </w:p>
        </w:tc>
      </w:tr>
      <w:tr w:rsidR="00D3180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D31805" w:rsidRPr="009C4D10" w:rsidRDefault="00D31805" w:rsidP="00D31805">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D31805" w:rsidRPr="009C4D10" w:rsidRDefault="00D31805" w:rsidP="00D31805">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D31805" w:rsidRPr="009C4D10" w:rsidRDefault="00D31805" w:rsidP="00D31805">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D31805" w:rsidRPr="009C4D10" w:rsidRDefault="00D31805" w:rsidP="00D31805">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441C01DB" w:rsidR="00D31805" w:rsidRPr="009C4D10" w:rsidRDefault="00D31805" w:rsidP="00D31805">
            <w:pPr>
              <w:rPr>
                <w:rFonts w:cstheme="minorHAnsi"/>
              </w:rPr>
            </w:pPr>
            <w:r w:rsidRPr="009C4D10">
              <w:rPr>
                <w:rFonts w:cstheme="minorHAnsi"/>
                <w:lang w:val="en-SG"/>
              </w:rPr>
              <w:t> </w:t>
            </w:r>
            <w:r w:rsidRPr="009C4D10">
              <w:rPr>
                <w:rFonts w:cstheme="minorHAnsi"/>
              </w:rPr>
              <w:t> </w:t>
            </w:r>
            <w:r>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B9CADFE" w:rsidR="00C01AF9" w:rsidRPr="009C4D10" w:rsidRDefault="00E32336" w:rsidP="00E32336">
            <w:pPr>
              <w:jc w:val="both"/>
              <w:rPr>
                <w:rFonts w:cstheme="minorHAnsi"/>
              </w:rPr>
            </w:pPr>
            <w:r w:rsidRPr="00E32336">
              <w:rPr>
                <w:rFonts w:cstheme="minorHAnsi"/>
              </w:rPr>
              <w:t>The Guideline does not make explicit reference to any international standards or frameworks, such as BCBS’s climate task force, NGFS, FSI/BIS, FSB, TCFD, or TNFD; current or planned. It is designed as a domestic prudential tool that outlines qualitative principles and supervisory expectations without mandating or recommending specific external standards or best practices.</w:t>
            </w:r>
          </w:p>
        </w:tc>
      </w:tr>
    </w:tbl>
    <w:p w14:paraId="6EB6D981" w14:textId="51801995" w:rsidR="33822AF7" w:rsidRDefault="33822AF7">
      <w:r>
        <w:br w:type="page"/>
      </w:r>
    </w:p>
    <w:p w14:paraId="75C57361" w14:textId="77777777" w:rsidR="00D4323A" w:rsidRDefault="00D4323A" w:rsidP="466E435B">
      <w:pPr>
        <w:pStyle w:val="Balk1"/>
      </w:pPr>
      <w:bookmarkStart w:id="52" w:name="_Toc198223638"/>
      <w:r>
        <w:t>Domain 6: Methane Abatement</w:t>
      </w:r>
      <w:bookmarkEnd w:id="52"/>
    </w:p>
    <w:p w14:paraId="144EDD37"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A5324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Balk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Bal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Balk4"/>
      </w:pPr>
      <w:r w:rsidRPr="26567C6B">
        <w:rPr>
          <w:rFonts w:eastAsia="Arial"/>
        </w:rPr>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8E391F" w14:textId="77777777" w:rsidR="00D2083B" w:rsidRDefault="00D2083B" w:rsidP="00874E39">
      <w:r>
        <w:separator/>
      </w:r>
    </w:p>
  </w:endnote>
  <w:endnote w:type="continuationSeparator" w:id="0">
    <w:p w14:paraId="068A2C31" w14:textId="77777777" w:rsidR="00D2083B" w:rsidRDefault="00D2083B" w:rsidP="00874E39">
      <w:r>
        <w:continuationSeparator/>
      </w:r>
    </w:p>
  </w:endnote>
  <w:endnote w:type="continuationNotice" w:id="1">
    <w:p w14:paraId="64F13557" w14:textId="77777777" w:rsidR="00D2083B" w:rsidRDefault="00D2083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2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7D451D1"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45A92B" w14:textId="77777777" w:rsidR="00D2083B" w:rsidRDefault="00D2083B" w:rsidP="00874E39">
      <w:r>
        <w:separator/>
      </w:r>
    </w:p>
  </w:footnote>
  <w:footnote w:type="continuationSeparator" w:id="0">
    <w:p w14:paraId="6C93642E" w14:textId="77777777" w:rsidR="00D2083B" w:rsidRDefault="00D2083B" w:rsidP="00874E39">
      <w:r>
        <w:continuationSeparator/>
      </w:r>
    </w:p>
  </w:footnote>
  <w:footnote w:type="continuationNotice" w:id="1">
    <w:p w14:paraId="0CE43367" w14:textId="77777777" w:rsidR="00D2083B" w:rsidRDefault="00D2083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47160BD"/>
    <w:multiLevelType w:val="hybridMultilevel"/>
    <w:tmpl w:val="DEE20C46"/>
    <w:lvl w:ilvl="0" w:tplc="26527F5E">
      <w:start w:val="1"/>
      <w:numFmt w:val="lowerRoman"/>
      <w:lvlText w:val="%1)"/>
      <w:lvlJc w:val="right"/>
      <w:pPr>
        <w:ind w:left="1020" w:hanging="360"/>
      </w:pPr>
    </w:lvl>
    <w:lvl w:ilvl="1" w:tplc="AA6ECE72">
      <w:start w:val="1"/>
      <w:numFmt w:val="lowerRoman"/>
      <w:lvlText w:val="%2)"/>
      <w:lvlJc w:val="right"/>
      <w:pPr>
        <w:ind w:left="1020" w:hanging="360"/>
      </w:pPr>
    </w:lvl>
    <w:lvl w:ilvl="2" w:tplc="67B6503C">
      <w:start w:val="1"/>
      <w:numFmt w:val="lowerRoman"/>
      <w:lvlText w:val="%3)"/>
      <w:lvlJc w:val="right"/>
      <w:pPr>
        <w:ind w:left="1020" w:hanging="360"/>
      </w:pPr>
    </w:lvl>
    <w:lvl w:ilvl="3" w:tplc="7842EA26">
      <w:start w:val="1"/>
      <w:numFmt w:val="lowerRoman"/>
      <w:lvlText w:val="%4)"/>
      <w:lvlJc w:val="right"/>
      <w:pPr>
        <w:ind w:left="1020" w:hanging="360"/>
      </w:pPr>
    </w:lvl>
    <w:lvl w:ilvl="4" w:tplc="35288EB0">
      <w:start w:val="1"/>
      <w:numFmt w:val="lowerRoman"/>
      <w:lvlText w:val="%5)"/>
      <w:lvlJc w:val="right"/>
      <w:pPr>
        <w:ind w:left="1020" w:hanging="360"/>
      </w:pPr>
    </w:lvl>
    <w:lvl w:ilvl="5" w:tplc="8CE6BCD0">
      <w:start w:val="1"/>
      <w:numFmt w:val="lowerRoman"/>
      <w:lvlText w:val="%6)"/>
      <w:lvlJc w:val="right"/>
      <w:pPr>
        <w:ind w:left="1020" w:hanging="360"/>
      </w:pPr>
    </w:lvl>
    <w:lvl w:ilvl="6" w:tplc="2FDA49FA">
      <w:start w:val="1"/>
      <w:numFmt w:val="lowerRoman"/>
      <w:lvlText w:val="%7)"/>
      <w:lvlJc w:val="right"/>
      <w:pPr>
        <w:ind w:left="1020" w:hanging="360"/>
      </w:pPr>
    </w:lvl>
    <w:lvl w:ilvl="7" w:tplc="5DFE3FC4">
      <w:start w:val="1"/>
      <w:numFmt w:val="lowerRoman"/>
      <w:lvlText w:val="%8)"/>
      <w:lvlJc w:val="right"/>
      <w:pPr>
        <w:ind w:left="1020" w:hanging="360"/>
      </w:pPr>
    </w:lvl>
    <w:lvl w:ilvl="8" w:tplc="B66A8EE0">
      <w:start w:val="1"/>
      <w:numFmt w:val="lowerRoman"/>
      <w:lvlText w:val="%9)"/>
      <w:lvlJc w:val="right"/>
      <w:pPr>
        <w:ind w:left="1020" w:hanging="360"/>
      </w:p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646085981">
    <w:abstractNumId w:val="2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2FD2"/>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889"/>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71D"/>
    <w:rsid w:val="0006692A"/>
    <w:rsid w:val="00067899"/>
    <w:rsid w:val="00067E05"/>
    <w:rsid w:val="000702AA"/>
    <w:rsid w:val="000704DB"/>
    <w:rsid w:val="00071C1F"/>
    <w:rsid w:val="00072FB0"/>
    <w:rsid w:val="0007502A"/>
    <w:rsid w:val="00075B10"/>
    <w:rsid w:val="000779A3"/>
    <w:rsid w:val="00077DBA"/>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134"/>
    <w:rsid w:val="00096371"/>
    <w:rsid w:val="0009644C"/>
    <w:rsid w:val="000966D3"/>
    <w:rsid w:val="000A0D34"/>
    <w:rsid w:val="000A1365"/>
    <w:rsid w:val="000A1490"/>
    <w:rsid w:val="000A1828"/>
    <w:rsid w:val="000A1917"/>
    <w:rsid w:val="000A1C25"/>
    <w:rsid w:val="000A3C19"/>
    <w:rsid w:val="000A3F79"/>
    <w:rsid w:val="000A50AD"/>
    <w:rsid w:val="000A59F1"/>
    <w:rsid w:val="000A6B31"/>
    <w:rsid w:val="000A6F11"/>
    <w:rsid w:val="000A7C9B"/>
    <w:rsid w:val="000B01BD"/>
    <w:rsid w:val="000B0734"/>
    <w:rsid w:val="000B15C7"/>
    <w:rsid w:val="000B1638"/>
    <w:rsid w:val="000B1BF7"/>
    <w:rsid w:val="000B37B0"/>
    <w:rsid w:val="000B3F66"/>
    <w:rsid w:val="000B3F68"/>
    <w:rsid w:val="000B4374"/>
    <w:rsid w:val="000B719B"/>
    <w:rsid w:val="000C11B2"/>
    <w:rsid w:val="000C1982"/>
    <w:rsid w:val="000C2857"/>
    <w:rsid w:val="000C52F1"/>
    <w:rsid w:val="000D0592"/>
    <w:rsid w:val="000D1226"/>
    <w:rsid w:val="000D12F7"/>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BE6"/>
    <w:rsid w:val="000F6E3B"/>
    <w:rsid w:val="00101305"/>
    <w:rsid w:val="001014D9"/>
    <w:rsid w:val="001021EC"/>
    <w:rsid w:val="00103AD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5C9"/>
    <w:rsid w:val="0011467E"/>
    <w:rsid w:val="001156F1"/>
    <w:rsid w:val="0011644D"/>
    <w:rsid w:val="00116A94"/>
    <w:rsid w:val="001174BF"/>
    <w:rsid w:val="001206CE"/>
    <w:rsid w:val="00121E26"/>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1EB3"/>
    <w:rsid w:val="00162CC0"/>
    <w:rsid w:val="00164088"/>
    <w:rsid w:val="00164519"/>
    <w:rsid w:val="00171690"/>
    <w:rsid w:val="00172B85"/>
    <w:rsid w:val="00173D7C"/>
    <w:rsid w:val="0017449C"/>
    <w:rsid w:val="001749C3"/>
    <w:rsid w:val="001754E8"/>
    <w:rsid w:val="00176011"/>
    <w:rsid w:val="00180289"/>
    <w:rsid w:val="00181C65"/>
    <w:rsid w:val="00182288"/>
    <w:rsid w:val="00182646"/>
    <w:rsid w:val="00183170"/>
    <w:rsid w:val="00184609"/>
    <w:rsid w:val="00185C8C"/>
    <w:rsid w:val="001904E6"/>
    <w:rsid w:val="00190F8A"/>
    <w:rsid w:val="00191059"/>
    <w:rsid w:val="001919D8"/>
    <w:rsid w:val="00192EC4"/>
    <w:rsid w:val="0019340B"/>
    <w:rsid w:val="001953A3"/>
    <w:rsid w:val="0019639C"/>
    <w:rsid w:val="001969AE"/>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127"/>
    <w:rsid w:val="001B63A1"/>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621"/>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3A"/>
    <w:rsid w:val="001F30DE"/>
    <w:rsid w:val="001F36B6"/>
    <w:rsid w:val="002008EE"/>
    <w:rsid w:val="00200E3F"/>
    <w:rsid w:val="00201740"/>
    <w:rsid w:val="002018F7"/>
    <w:rsid w:val="002020E8"/>
    <w:rsid w:val="0020286E"/>
    <w:rsid w:val="00203B08"/>
    <w:rsid w:val="002040F6"/>
    <w:rsid w:val="00204C4D"/>
    <w:rsid w:val="0020589D"/>
    <w:rsid w:val="00205D5A"/>
    <w:rsid w:val="002069B2"/>
    <w:rsid w:val="00206E20"/>
    <w:rsid w:val="00210E0F"/>
    <w:rsid w:val="00211851"/>
    <w:rsid w:val="002119B6"/>
    <w:rsid w:val="002122F2"/>
    <w:rsid w:val="00213A90"/>
    <w:rsid w:val="0021535C"/>
    <w:rsid w:val="0021729E"/>
    <w:rsid w:val="00220F36"/>
    <w:rsid w:val="00222757"/>
    <w:rsid w:val="00222DFA"/>
    <w:rsid w:val="00222E01"/>
    <w:rsid w:val="0022305B"/>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E50"/>
    <w:rsid w:val="00237F89"/>
    <w:rsid w:val="002406C6"/>
    <w:rsid w:val="00240CE1"/>
    <w:rsid w:val="00241257"/>
    <w:rsid w:val="00241450"/>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6C9D"/>
    <w:rsid w:val="002679A5"/>
    <w:rsid w:val="0027067C"/>
    <w:rsid w:val="00270A4D"/>
    <w:rsid w:val="002725A3"/>
    <w:rsid w:val="00272AC9"/>
    <w:rsid w:val="00272D9A"/>
    <w:rsid w:val="002737EF"/>
    <w:rsid w:val="00273945"/>
    <w:rsid w:val="00274335"/>
    <w:rsid w:val="00274864"/>
    <w:rsid w:val="00274B22"/>
    <w:rsid w:val="002756EC"/>
    <w:rsid w:val="00277FC5"/>
    <w:rsid w:val="00284ADD"/>
    <w:rsid w:val="00285DA7"/>
    <w:rsid w:val="00286683"/>
    <w:rsid w:val="00286FE0"/>
    <w:rsid w:val="002878A1"/>
    <w:rsid w:val="002908FA"/>
    <w:rsid w:val="002912CD"/>
    <w:rsid w:val="00293783"/>
    <w:rsid w:val="00295770"/>
    <w:rsid w:val="00295DDD"/>
    <w:rsid w:val="00296362"/>
    <w:rsid w:val="002968A6"/>
    <w:rsid w:val="00296D90"/>
    <w:rsid w:val="0029703E"/>
    <w:rsid w:val="002A0239"/>
    <w:rsid w:val="002A1860"/>
    <w:rsid w:val="002A1997"/>
    <w:rsid w:val="002A237B"/>
    <w:rsid w:val="002A32E0"/>
    <w:rsid w:val="002A3C41"/>
    <w:rsid w:val="002A3C84"/>
    <w:rsid w:val="002A3F53"/>
    <w:rsid w:val="002A3F77"/>
    <w:rsid w:val="002A4221"/>
    <w:rsid w:val="002A611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66C"/>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B30"/>
    <w:rsid w:val="002F5D09"/>
    <w:rsid w:val="00300C2F"/>
    <w:rsid w:val="003020DB"/>
    <w:rsid w:val="00302816"/>
    <w:rsid w:val="00302BC0"/>
    <w:rsid w:val="003032A9"/>
    <w:rsid w:val="00303B91"/>
    <w:rsid w:val="00303D9A"/>
    <w:rsid w:val="00304070"/>
    <w:rsid w:val="00306538"/>
    <w:rsid w:val="00306DB6"/>
    <w:rsid w:val="00307058"/>
    <w:rsid w:val="003071A8"/>
    <w:rsid w:val="00307464"/>
    <w:rsid w:val="00307E9B"/>
    <w:rsid w:val="00311061"/>
    <w:rsid w:val="0031143A"/>
    <w:rsid w:val="00311F1B"/>
    <w:rsid w:val="00313275"/>
    <w:rsid w:val="00313E83"/>
    <w:rsid w:val="003175A1"/>
    <w:rsid w:val="003218C6"/>
    <w:rsid w:val="00322783"/>
    <w:rsid w:val="00322BCF"/>
    <w:rsid w:val="003243E3"/>
    <w:rsid w:val="00324698"/>
    <w:rsid w:val="00325558"/>
    <w:rsid w:val="00325771"/>
    <w:rsid w:val="00325E0E"/>
    <w:rsid w:val="00326924"/>
    <w:rsid w:val="003310EC"/>
    <w:rsid w:val="00331C00"/>
    <w:rsid w:val="00334282"/>
    <w:rsid w:val="003363CC"/>
    <w:rsid w:val="0033659B"/>
    <w:rsid w:val="0033727F"/>
    <w:rsid w:val="003377B3"/>
    <w:rsid w:val="00340521"/>
    <w:rsid w:val="003421A5"/>
    <w:rsid w:val="003423AA"/>
    <w:rsid w:val="003429C7"/>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408"/>
    <w:rsid w:val="003B0628"/>
    <w:rsid w:val="003B3C0F"/>
    <w:rsid w:val="003B47BC"/>
    <w:rsid w:val="003B4DD6"/>
    <w:rsid w:val="003B4F81"/>
    <w:rsid w:val="003B539A"/>
    <w:rsid w:val="003B5B6C"/>
    <w:rsid w:val="003B5CAC"/>
    <w:rsid w:val="003B66F6"/>
    <w:rsid w:val="003B7854"/>
    <w:rsid w:val="003B7D64"/>
    <w:rsid w:val="003C16DA"/>
    <w:rsid w:val="003C5BA2"/>
    <w:rsid w:val="003C7378"/>
    <w:rsid w:val="003C7C8A"/>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DD9"/>
    <w:rsid w:val="003F1282"/>
    <w:rsid w:val="003F1BE4"/>
    <w:rsid w:val="003F1C8E"/>
    <w:rsid w:val="003F1E87"/>
    <w:rsid w:val="003F256E"/>
    <w:rsid w:val="003F2B00"/>
    <w:rsid w:val="003F2E77"/>
    <w:rsid w:val="003F338D"/>
    <w:rsid w:val="003F39C3"/>
    <w:rsid w:val="003F3AED"/>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699D"/>
    <w:rsid w:val="004205C2"/>
    <w:rsid w:val="004222DF"/>
    <w:rsid w:val="004227B7"/>
    <w:rsid w:val="00425FEF"/>
    <w:rsid w:val="00426417"/>
    <w:rsid w:val="00426919"/>
    <w:rsid w:val="00427085"/>
    <w:rsid w:val="004306A7"/>
    <w:rsid w:val="00430927"/>
    <w:rsid w:val="00430E44"/>
    <w:rsid w:val="00432DF0"/>
    <w:rsid w:val="00432E52"/>
    <w:rsid w:val="00433033"/>
    <w:rsid w:val="004333DA"/>
    <w:rsid w:val="00433B13"/>
    <w:rsid w:val="00434724"/>
    <w:rsid w:val="00434B6A"/>
    <w:rsid w:val="00434C93"/>
    <w:rsid w:val="0043666A"/>
    <w:rsid w:val="00436F24"/>
    <w:rsid w:val="0043774D"/>
    <w:rsid w:val="00437B11"/>
    <w:rsid w:val="004405AC"/>
    <w:rsid w:val="00440A79"/>
    <w:rsid w:val="004419AC"/>
    <w:rsid w:val="00444D51"/>
    <w:rsid w:val="004474C7"/>
    <w:rsid w:val="00450AD7"/>
    <w:rsid w:val="00450C15"/>
    <w:rsid w:val="004514AB"/>
    <w:rsid w:val="00452F13"/>
    <w:rsid w:val="00454C98"/>
    <w:rsid w:val="004557A1"/>
    <w:rsid w:val="00455E1B"/>
    <w:rsid w:val="00456089"/>
    <w:rsid w:val="00460A6D"/>
    <w:rsid w:val="00461552"/>
    <w:rsid w:val="00463D40"/>
    <w:rsid w:val="00464C5E"/>
    <w:rsid w:val="0046509D"/>
    <w:rsid w:val="0046589E"/>
    <w:rsid w:val="00465B8D"/>
    <w:rsid w:val="00465BE4"/>
    <w:rsid w:val="0046632D"/>
    <w:rsid w:val="00467A1C"/>
    <w:rsid w:val="00470095"/>
    <w:rsid w:val="00470D19"/>
    <w:rsid w:val="004711F3"/>
    <w:rsid w:val="00473D86"/>
    <w:rsid w:val="00474855"/>
    <w:rsid w:val="004768DF"/>
    <w:rsid w:val="00480247"/>
    <w:rsid w:val="00483B35"/>
    <w:rsid w:val="00483D65"/>
    <w:rsid w:val="00484663"/>
    <w:rsid w:val="00485B85"/>
    <w:rsid w:val="00485DBD"/>
    <w:rsid w:val="00486758"/>
    <w:rsid w:val="00486B53"/>
    <w:rsid w:val="00486C77"/>
    <w:rsid w:val="00487887"/>
    <w:rsid w:val="00487AFB"/>
    <w:rsid w:val="00490235"/>
    <w:rsid w:val="0049168C"/>
    <w:rsid w:val="00493986"/>
    <w:rsid w:val="00493E0A"/>
    <w:rsid w:val="00494A74"/>
    <w:rsid w:val="00494B67"/>
    <w:rsid w:val="00496413"/>
    <w:rsid w:val="004A06B9"/>
    <w:rsid w:val="004A14A0"/>
    <w:rsid w:val="004A1B2A"/>
    <w:rsid w:val="004A1C8C"/>
    <w:rsid w:val="004A2174"/>
    <w:rsid w:val="004A4AC5"/>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68B2"/>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4FC4"/>
    <w:rsid w:val="004F5354"/>
    <w:rsid w:val="00501B4C"/>
    <w:rsid w:val="00501CCF"/>
    <w:rsid w:val="0050262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D9B"/>
    <w:rsid w:val="0055321B"/>
    <w:rsid w:val="00553BB6"/>
    <w:rsid w:val="00554079"/>
    <w:rsid w:val="00554F39"/>
    <w:rsid w:val="0055593D"/>
    <w:rsid w:val="005576AE"/>
    <w:rsid w:val="005577D4"/>
    <w:rsid w:val="00561537"/>
    <w:rsid w:val="00563224"/>
    <w:rsid w:val="00563432"/>
    <w:rsid w:val="00563626"/>
    <w:rsid w:val="00566FDB"/>
    <w:rsid w:val="00567333"/>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89D"/>
    <w:rsid w:val="00584EE1"/>
    <w:rsid w:val="005853F9"/>
    <w:rsid w:val="00586A0A"/>
    <w:rsid w:val="005870D5"/>
    <w:rsid w:val="00587FAE"/>
    <w:rsid w:val="005900AD"/>
    <w:rsid w:val="005923CF"/>
    <w:rsid w:val="00592CDE"/>
    <w:rsid w:val="005938A6"/>
    <w:rsid w:val="0059434E"/>
    <w:rsid w:val="005946B7"/>
    <w:rsid w:val="00595185"/>
    <w:rsid w:val="0059609B"/>
    <w:rsid w:val="00596289"/>
    <w:rsid w:val="0059696F"/>
    <w:rsid w:val="00596CC5"/>
    <w:rsid w:val="0059772D"/>
    <w:rsid w:val="005A03B5"/>
    <w:rsid w:val="005A2023"/>
    <w:rsid w:val="005A270C"/>
    <w:rsid w:val="005A2821"/>
    <w:rsid w:val="005A2900"/>
    <w:rsid w:val="005A383B"/>
    <w:rsid w:val="005A4E4C"/>
    <w:rsid w:val="005A54A2"/>
    <w:rsid w:val="005A5613"/>
    <w:rsid w:val="005A76C9"/>
    <w:rsid w:val="005B0D5C"/>
    <w:rsid w:val="005B355B"/>
    <w:rsid w:val="005B4539"/>
    <w:rsid w:val="005C1A1D"/>
    <w:rsid w:val="005C327C"/>
    <w:rsid w:val="005C4420"/>
    <w:rsid w:val="005C4F2B"/>
    <w:rsid w:val="005C5681"/>
    <w:rsid w:val="005C6A1D"/>
    <w:rsid w:val="005C765C"/>
    <w:rsid w:val="005C7DF6"/>
    <w:rsid w:val="005D02C9"/>
    <w:rsid w:val="005D349D"/>
    <w:rsid w:val="005D3FD2"/>
    <w:rsid w:val="005D55BE"/>
    <w:rsid w:val="005D7CD4"/>
    <w:rsid w:val="005E0296"/>
    <w:rsid w:val="005E0E43"/>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350"/>
    <w:rsid w:val="005F444D"/>
    <w:rsid w:val="005F4B1C"/>
    <w:rsid w:val="005F4D8C"/>
    <w:rsid w:val="005F7A89"/>
    <w:rsid w:val="005F7AC4"/>
    <w:rsid w:val="00601397"/>
    <w:rsid w:val="0060224F"/>
    <w:rsid w:val="00602D74"/>
    <w:rsid w:val="0060378D"/>
    <w:rsid w:val="00603B3F"/>
    <w:rsid w:val="00605595"/>
    <w:rsid w:val="0060565E"/>
    <w:rsid w:val="0060639F"/>
    <w:rsid w:val="006066A3"/>
    <w:rsid w:val="00606B61"/>
    <w:rsid w:val="00606B99"/>
    <w:rsid w:val="00607831"/>
    <w:rsid w:val="00610D24"/>
    <w:rsid w:val="00610F28"/>
    <w:rsid w:val="00610F42"/>
    <w:rsid w:val="00611327"/>
    <w:rsid w:val="0061167D"/>
    <w:rsid w:val="00611927"/>
    <w:rsid w:val="00611D83"/>
    <w:rsid w:val="00612981"/>
    <w:rsid w:val="00612E55"/>
    <w:rsid w:val="00613220"/>
    <w:rsid w:val="00613384"/>
    <w:rsid w:val="00613C9D"/>
    <w:rsid w:val="006143C5"/>
    <w:rsid w:val="006144DA"/>
    <w:rsid w:val="00615CDA"/>
    <w:rsid w:val="00616D73"/>
    <w:rsid w:val="00617678"/>
    <w:rsid w:val="00617819"/>
    <w:rsid w:val="00620CAC"/>
    <w:rsid w:val="006225F1"/>
    <w:rsid w:val="006229D5"/>
    <w:rsid w:val="00622AAA"/>
    <w:rsid w:val="006231E7"/>
    <w:rsid w:val="006239D6"/>
    <w:rsid w:val="00626B40"/>
    <w:rsid w:val="0062724C"/>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701"/>
    <w:rsid w:val="006450DB"/>
    <w:rsid w:val="0064585A"/>
    <w:rsid w:val="00646CCB"/>
    <w:rsid w:val="00647D11"/>
    <w:rsid w:val="00647D9B"/>
    <w:rsid w:val="00651DBE"/>
    <w:rsid w:val="006529EC"/>
    <w:rsid w:val="00652C0B"/>
    <w:rsid w:val="00653F30"/>
    <w:rsid w:val="00654950"/>
    <w:rsid w:val="00655BD9"/>
    <w:rsid w:val="00655FF7"/>
    <w:rsid w:val="006561EB"/>
    <w:rsid w:val="006562BF"/>
    <w:rsid w:val="00656A7C"/>
    <w:rsid w:val="006621B6"/>
    <w:rsid w:val="00662657"/>
    <w:rsid w:val="006636AC"/>
    <w:rsid w:val="006636CE"/>
    <w:rsid w:val="00663D94"/>
    <w:rsid w:val="00664677"/>
    <w:rsid w:val="00666CB6"/>
    <w:rsid w:val="006714BC"/>
    <w:rsid w:val="00671EA4"/>
    <w:rsid w:val="006736BC"/>
    <w:rsid w:val="006746D5"/>
    <w:rsid w:val="0067532A"/>
    <w:rsid w:val="00675752"/>
    <w:rsid w:val="006770B7"/>
    <w:rsid w:val="006801E4"/>
    <w:rsid w:val="00683A9D"/>
    <w:rsid w:val="00683DB5"/>
    <w:rsid w:val="00684A08"/>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F15"/>
    <w:rsid w:val="006B07E5"/>
    <w:rsid w:val="006B0C0B"/>
    <w:rsid w:val="006B2C46"/>
    <w:rsid w:val="006B4FC8"/>
    <w:rsid w:val="006B6168"/>
    <w:rsid w:val="006B61C2"/>
    <w:rsid w:val="006B7780"/>
    <w:rsid w:val="006B7B0D"/>
    <w:rsid w:val="006C0BEF"/>
    <w:rsid w:val="006C0C8C"/>
    <w:rsid w:val="006C0F2E"/>
    <w:rsid w:val="006C1651"/>
    <w:rsid w:val="006C1E8E"/>
    <w:rsid w:val="006C2072"/>
    <w:rsid w:val="006C36E1"/>
    <w:rsid w:val="006C3C15"/>
    <w:rsid w:val="006C3E76"/>
    <w:rsid w:val="006C4979"/>
    <w:rsid w:val="006C5478"/>
    <w:rsid w:val="006C5B0E"/>
    <w:rsid w:val="006C5B4E"/>
    <w:rsid w:val="006C655F"/>
    <w:rsid w:val="006C662F"/>
    <w:rsid w:val="006C6972"/>
    <w:rsid w:val="006C6CF7"/>
    <w:rsid w:val="006C7324"/>
    <w:rsid w:val="006D005C"/>
    <w:rsid w:val="006D0F88"/>
    <w:rsid w:val="006D261A"/>
    <w:rsid w:val="006D2944"/>
    <w:rsid w:val="006D43AA"/>
    <w:rsid w:val="006D4C70"/>
    <w:rsid w:val="006D5605"/>
    <w:rsid w:val="006D76F0"/>
    <w:rsid w:val="006E114C"/>
    <w:rsid w:val="006E18FD"/>
    <w:rsid w:val="006E23C1"/>
    <w:rsid w:val="006E43A6"/>
    <w:rsid w:val="006E5C5F"/>
    <w:rsid w:val="006E5EE5"/>
    <w:rsid w:val="006E6B58"/>
    <w:rsid w:val="006E7195"/>
    <w:rsid w:val="006E7DC6"/>
    <w:rsid w:val="006F0E83"/>
    <w:rsid w:val="006F13BA"/>
    <w:rsid w:val="006F2FC8"/>
    <w:rsid w:val="006F344F"/>
    <w:rsid w:val="006F375E"/>
    <w:rsid w:val="006F3CBF"/>
    <w:rsid w:val="006F531C"/>
    <w:rsid w:val="006F53B6"/>
    <w:rsid w:val="006F7123"/>
    <w:rsid w:val="0070013E"/>
    <w:rsid w:val="00702413"/>
    <w:rsid w:val="00702929"/>
    <w:rsid w:val="00702E5A"/>
    <w:rsid w:val="00703034"/>
    <w:rsid w:val="007032D7"/>
    <w:rsid w:val="007042BB"/>
    <w:rsid w:val="007055F4"/>
    <w:rsid w:val="00705948"/>
    <w:rsid w:val="00705ADE"/>
    <w:rsid w:val="007066F4"/>
    <w:rsid w:val="007078D5"/>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898"/>
    <w:rsid w:val="00732D3A"/>
    <w:rsid w:val="007335CD"/>
    <w:rsid w:val="00733903"/>
    <w:rsid w:val="00733D39"/>
    <w:rsid w:val="00735A3B"/>
    <w:rsid w:val="00736E9B"/>
    <w:rsid w:val="00736F5F"/>
    <w:rsid w:val="00737B83"/>
    <w:rsid w:val="0074022B"/>
    <w:rsid w:val="007404B4"/>
    <w:rsid w:val="00740BD6"/>
    <w:rsid w:val="007419BF"/>
    <w:rsid w:val="00741AA1"/>
    <w:rsid w:val="0074258C"/>
    <w:rsid w:val="00742723"/>
    <w:rsid w:val="0074291C"/>
    <w:rsid w:val="00742D5F"/>
    <w:rsid w:val="00743313"/>
    <w:rsid w:val="007437F3"/>
    <w:rsid w:val="00743DED"/>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2855"/>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34C"/>
    <w:rsid w:val="0078610D"/>
    <w:rsid w:val="007866CF"/>
    <w:rsid w:val="00786AC9"/>
    <w:rsid w:val="00786EC4"/>
    <w:rsid w:val="00791ED5"/>
    <w:rsid w:val="00792AC3"/>
    <w:rsid w:val="007936B2"/>
    <w:rsid w:val="007936C6"/>
    <w:rsid w:val="007939C4"/>
    <w:rsid w:val="0079410C"/>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01E"/>
    <w:rsid w:val="007D33C4"/>
    <w:rsid w:val="007D3472"/>
    <w:rsid w:val="007D366D"/>
    <w:rsid w:val="007D4EBE"/>
    <w:rsid w:val="007D5868"/>
    <w:rsid w:val="007D58B6"/>
    <w:rsid w:val="007D61F4"/>
    <w:rsid w:val="007D6CAB"/>
    <w:rsid w:val="007E038D"/>
    <w:rsid w:val="007E0819"/>
    <w:rsid w:val="007E08A2"/>
    <w:rsid w:val="007E1AE1"/>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968"/>
    <w:rsid w:val="007F7D9C"/>
    <w:rsid w:val="008013A9"/>
    <w:rsid w:val="008017F9"/>
    <w:rsid w:val="00801FAE"/>
    <w:rsid w:val="00802A4B"/>
    <w:rsid w:val="00804575"/>
    <w:rsid w:val="008047DF"/>
    <w:rsid w:val="008047E1"/>
    <w:rsid w:val="00804EC7"/>
    <w:rsid w:val="00805459"/>
    <w:rsid w:val="008063B5"/>
    <w:rsid w:val="00806435"/>
    <w:rsid w:val="00806AB6"/>
    <w:rsid w:val="00807DC0"/>
    <w:rsid w:val="00811FC6"/>
    <w:rsid w:val="0081210B"/>
    <w:rsid w:val="0081265C"/>
    <w:rsid w:val="0081313B"/>
    <w:rsid w:val="00813A3A"/>
    <w:rsid w:val="00813E00"/>
    <w:rsid w:val="008141DA"/>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668"/>
    <w:rsid w:val="00835A06"/>
    <w:rsid w:val="00836174"/>
    <w:rsid w:val="008361A2"/>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12"/>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6CD7"/>
    <w:rsid w:val="00897600"/>
    <w:rsid w:val="008A0461"/>
    <w:rsid w:val="008A093D"/>
    <w:rsid w:val="008A1DDE"/>
    <w:rsid w:val="008A207F"/>
    <w:rsid w:val="008A345E"/>
    <w:rsid w:val="008A4685"/>
    <w:rsid w:val="008A50AD"/>
    <w:rsid w:val="008B0F60"/>
    <w:rsid w:val="008B0F8A"/>
    <w:rsid w:val="008B2418"/>
    <w:rsid w:val="008B25BE"/>
    <w:rsid w:val="008B4536"/>
    <w:rsid w:val="008B536B"/>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250"/>
    <w:rsid w:val="008D0461"/>
    <w:rsid w:val="008D08EB"/>
    <w:rsid w:val="008D0BA1"/>
    <w:rsid w:val="008D2B18"/>
    <w:rsid w:val="008D2FA8"/>
    <w:rsid w:val="008D45C5"/>
    <w:rsid w:val="008D4735"/>
    <w:rsid w:val="008D4BD8"/>
    <w:rsid w:val="008D5150"/>
    <w:rsid w:val="008D54CE"/>
    <w:rsid w:val="008D78E4"/>
    <w:rsid w:val="008E1E36"/>
    <w:rsid w:val="008E1EEF"/>
    <w:rsid w:val="008E2359"/>
    <w:rsid w:val="008E3BCF"/>
    <w:rsid w:val="008E4B2E"/>
    <w:rsid w:val="008E540F"/>
    <w:rsid w:val="008E55CB"/>
    <w:rsid w:val="008E59EB"/>
    <w:rsid w:val="008E6AE1"/>
    <w:rsid w:val="008E760C"/>
    <w:rsid w:val="008F2371"/>
    <w:rsid w:val="008F27A6"/>
    <w:rsid w:val="008F31B3"/>
    <w:rsid w:val="008F32F0"/>
    <w:rsid w:val="008F520A"/>
    <w:rsid w:val="008F5BAC"/>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2F2B"/>
    <w:rsid w:val="00926863"/>
    <w:rsid w:val="00926D7F"/>
    <w:rsid w:val="009307C9"/>
    <w:rsid w:val="0093086E"/>
    <w:rsid w:val="009309EB"/>
    <w:rsid w:val="00931F08"/>
    <w:rsid w:val="00932230"/>
    <w:rsid w:val="0093344C"/>
    <w:rsid w:val="009338F2"/>
    <w:rsid w:val="00933F3C"/>
    <w:rsid w:val="00934657"/>
    <w:rsid w:val="009370E9"/>
    <w:rsid w:val="00937D9B"/>
    <w:rsid w:val="00940CD5"/>
    <w:rsid w:val="00940E65"/>
    <w:rsid w:val="0094115B"/>
    <w:rsid w:val="009462FE"/>
    <w:rsid w:val="00946B7A"/>
    <w:rsid w:val="009471BC"/>
    <w:rsid w:val="00947D8F"/>
    <w:rsid w:val="00950AB0"/>
    <w:rsid w:val="00950B68"/>
    <w:rsid w:val="00951BBE"/>
    <w:rsid w:val="0095260A"/>
    <w:rsid w:val="00952AB2"/>
    <w:rsid w:val="00952FEB"/>
    <w:rsid w:val="00953E75"/>
    <w:rsid w:val="00954A49"/>
    <w:rsid w:val="009556EA"/>
    <w:rsid w:val="0095574D"/>
    <w:rsid w:val="00955756"/>
    <w:rsid w:val="00955BFF"/>
    <w:rsid w:val="00956390"/>
    <w:rsid w:val="0095736B"/>
    <w:rsid w:val="009578F4"/>
    <w:rsid w:val="00960F14"/>
    <w:rsid w:val="009612D3"/>
    <w:rsid w:val="00962064"/>
    <w:rsid w:val="00962F14"/>
    <w:rsid w:val="00963A39"/>
    <w:rsid w:val="00963DC5"/>
    <w:rsid w:val="009649F8"/>
    <w:rsid w:val="00966139"/>
    <w:rsid w:val="00966160"/>
    <w:rsid w:val="00966C8D"/>
    <w:rsid w:val="0097030B"/>
    <w:rsid w:val="00970C82"/>
    <w:rsid w:val="009718AD"/>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4F75"/>
    <w:rsid w:val="0098621E"/>
    <w:rsid w:val="009868E2"/>
    <w:rsid w:val="0098717C"/>
    <w:rsid w:val="00990A7F"/>
    <w:rsid w:val="00991124"/>
    <w:rsid w:val="009923B6"/>
    <w:rsid w:val="009926EF"/>
    <w:rsid w:val="00993609"/>
    <w:rsid w:val="00993AA4"/>
    <w:rsid w:val="00994653"/>
    <w:rsid w:val="00994C5F"/>
    <w:rsid w:val="00994E6E"/>
    <w:rsid w:val="00996526"/>
    <w:rsid w:val="009967D9"/>
    <w:rsid w:val="00996A43"/>
    <w:rsid w:val="00996EFE"/>
    <w:rsid w:val="009A0851"/>
    <w:rsid w:val="009A1530"/>
    <w:rsid w:val="009A15B3"/>
    <w:rsid w:val="009A2F67"/>
    <w:rsid w:val="009A322B"/>
    <w:rsid w:val="009A3E86"/>
    <w:rsid w:val="009A4BC9"/>
    <w:rsid w:val="009A50A0"/>
    <w:rsid w:val="009A5C4E"/>
    <w:rsid w:val="009A639D"/>
    <w:rsid w:val="009A66B8"/>
    <w:rsid w:val="009A6D57"/>
    <w:rsid w:val="009A7B7F"/>
    <w:rsid w:val="009B10F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D36"/>
    <w:rsid w:val="009D1847"/>
    <w:rsid w:val="009D1954"/>
    <w:rsid w:val="009D2699"/>
    <w:rsid w:val="009D336A"/>
    <w:rsid w:val="009D3783"/>
    <w:rsid w:val="009D43A7"/>
    <w:rsid w:val="009D5403"/>
    <w:rsid w:val="009D59A5"/>
    <w:rsid w:val="009D7337"/>
    <w:rsid w:val="009D7CB0"/>
    <w:rsid w:val="009E0563"/>
    <w:rsid w:val="009E133B"/>
    <w:rsid w:val="009E1E61"/>
    <w:rsid w:val="009E21B4"/>
    <w:rsid w:val="009E2FD6"/>
    <w:rsid w:val="009E3D96"/>
    <w:rsid w:val="009E40D3"/>
    <w:rsid w:val="009E4263"/>
    <w:rsid w:val="009E5F98"/>
    <w:rsid w:val="009E6317"/>
    <w:rsid w:val="009E7C10"/>
    <w:rsid w:val="009F3542"/>
    <w:rsid w:val="009F56B4"/>
    <w:rsid w:val="009F5822"/>
    <w:rsid w:val="009F676A"/>
    <w:rsid w:val="009F7316"/>
    <w:rsid w:val="00A004D4"/>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19F"/>
    <w:rsid w:val="00A36AA7"/>
    <w:rsid w:val="00A40404"/>
    <w:rsid w:val="00A42235"/>
    <w:rsid w:val="00A42858"/>
    <w:rsid w:val="00A43199"/>
    <w:rsid w:val="00A43AFC"/>
    <w:rsid w:val="00A445CD"/>
    <w:rsid w:val="00A45776"/>
    <w:rsid w:val="00A46507"/>
    <w:rsid w:val="00A46BEA"/>
    <w:rsid w:val="00A46EC1"/>
    <w:rsid w:val="00A47C6E"/>
    <w:rsid w:val="00A501D9"/>
    <w:rsid w:val="00A503F1"/>
    <w:rsid w:val="00A5324B"/>
    <w:rsid w:val="00A53328"/>
    <w:rsid w:val="00A53874"/>
    <w:rsid w:val="00A55B96"/>
    <w:rsid w:val="00A56BE5"/>
    <w:rsid w:val="00A56DE0"/>
    <w:rsid w:val="00A57E93"/>
    <w:rsid w:val="00A606B1"/>
    <w:rsid w:val="00A60DA8"/>
    <w:rsid w:val="00A6137C"/>
    <w:rsid w:val="00A615A6"/>
    <w:rsid w:val="00A623D0"/>
    <w:rsid w:val="00A62BF9"/>
    <w:rsid w:val="00A631EB"/>
    <w:rsid w:val="00A711B3"/>
    <w:rsid w:val="00A71C2B"/>
    <w:rsid w:val="00A72E82"/>
    <w:rsid w:val="00A76423"/>
    <w:rsid w:val="00A773D0"/>
    <w:rsid w:val="00A77738"/>
    <w:rsid w:val="00A7786A"/>
    <w:rsid w:val="00A779A2"/>
    <w:rsid w:val="00A80131"/>
    <w:rsid w:val="00A818E6"/>
    <w:rsid w:val="00A81A71"/>
    <w:rsid w:val="00A82D57"/>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6E9F"/>
    <w:rsid w:val="00AC0F56"/>
    <w:rsid w:val="00AC14A5"/>
    <w:rsid w:val="00AC6ECF"/>
    <w:rsid w:val="00AC7B6B"/>
    <w:rsid w:val="00AD1216"/>
    <w:rsid w:val="00AD1BC7"/>
    <w:rsid w:val="00AD4477"/>
    <w:rsid w:val="00AD4F51"/>
    <w:rsid w:val="00AD5285"/>
    <w:rsid w:val="00AD54D3"/>
    <w:rsid w:val="00AD70E0"/>
    <w:rsid w:val="00AD7E4C"/>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1F0"/>
    <w:rsid w:val="00B006E5"/>
    <w:rsid w:val="00B00CFD"/>
    <w:rsid w:val="00B01374"/>
    <w:rsid w:val="00B01F74"/>
    <w:rsid w:val="00B02343"/>
    <w:rsid w:val="00B03475"/>
    <w:rsid w:val="00B03E4A"/>
    <w:rsid w:val="00B0479E"/>
    <w:rsid w:val="00B048EF"/>
    <w:rsid w:val="00B05B53"/>
    <w:rsid w:val="00B0643B"/>
    <w:rsid w:val="00B065CB"/>
    <w:rsid w:val="00B068ED"/>
    <w:rsid w:val="00B078A7"/>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17AD"/>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9C8"/>
    <w:rsid w:val="00B80E01"/>
    <w:rsid w:val="00B81D1E"/>
    <w:rsid w:val="00B82E77"/>
    <w:rsid w:val="00B82FEF"/>
    <w:rsid w:val="00B84428"/>
    <w:rsid w:val="00B84909"/>
    <w:rsid w:val="00B855E0"/>
    <w:rsid w:val="00B87C89"/>
    <w:rsid w:val="00B90D29"/>
    <w:rsid w:val="00B90F5B"/>
    <w:rsid w:val="00B9130E"/>
    <w:rsid w:val="00B91B0A"/>
    <w:rsid w:val="00B92EA2"/>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B7AB5"/>
    <w:rsid w:val="00BC0309"/>
    <w:rsid w:val="00BC1037"/>
    <w:rsid w:val="00BC21A9"/>
    <w:rsid w:val="00BC2F0B"/>
    <w:rsid w:val="00BC3206"/>
    <w:rsid w:val="00BC4832"/>
    <w:rsid w:val="00BC5451"/>
    <w:rsid w:val="00BC5744"/>
    <w:rsid w:val="00BC5B8A"/>
    <w:rsid w:val="00BD127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954"/>
    <w:rsid w:val="00BE71DD"/>
    <w:rsid w:val="00BF20B8"/>
    <w:rsid w:val="00BF2BCA"/>
    <w:rsid w:val="00BF3354"/>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133"/>
    <w:rsid w:val="00C20FC8"/>
    <w:rsid w:val="00C227D5"/>
    <w:rsid w:val="00C228DF"/>
    <w:rsid w:val="00C2454C"/>
    <w:rsid w:val="00C24678"/>
    <w:rsid w:val="00C25D27"/>
    <w:rsid w:val="00C25F98"/>
    <w:rsid w:val="00C266E5"/>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0F62"/>
    <w:rsid w:val="00C6146F"/>
    <w:rsid w:val="00C62AF0"/>
    <w:rsid w:val="00C636BA"/>
    <w:rsid w:val="00C63A43"/>
    <w:rsid w:val="00C6430A"/>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5D2A"/>
    <w:rsid w:val="00C75DAD"/>
    <w:rsid w:val="00C76B74"/>
    <w:rsid w:val="00C81DE5"/>
    <w:rsid w:val="00C82860"/>
    <w:rsid w:val="00C837C9"/>
    <w:rsid w:val="00C8396C"/>
    <w:rsid w:val="00C84F1D"/>
    <w:rsid w:val="00C85DD9"/>
    <w:rsid w:val="00C85F5A"/>
    <w:rsid w:val="00C8618D"/>
    <w:rsid w:val="00C86ADF"/>
    <w:rsid w:val="00C870C0"/>
    <w:rsid w:val="00C93963"/>
    <w:rsid w:val="00C93AD3"/>
    <w:rsid w:val="00C93F42"/>
    <w:rsid w:val="00C9418B"/>
    <w:rsid w:val="00C95D67"/>
    <w:rsid w:val="00C97222"/>
    <w:rsid w:val="00CA0DAE"/>
    <w:rsid w:val="00CA0E49"/>
    <w:rsid w:val="00CA1535"/>
    <w:rsid w:val="00CA2AD7"/>
    <w:rsid w:val="00CA5087"/>
    <w:rsid w:val="00CA58EE"/>
    <w:rsid w:val="00CA7EEF"/>
    <w:rsid w:val="00CB1649"/>
    <w:rsid w:val="00CB179D"/>
    <w:rsid w:val="00CB1DDD"/>
    <w:rsid w:val="00CB1EDA"/>
    <w:rsid w:val="00CB21D9"/>
    <w:rsid w:val="00CB3E5E"/>
    <w:rsid w:val="00CB4EBD"/>
    <w:rsid w:val="00CB6338"/>
    <w:rsid w:val="00CB76AA"/>
    <w:rsid w:val="00CB790E"/>
    <w:rsid w:val="00CC1407"/>
    <w:rsid w:val="00CC33AC"/>
    <w:rsid w:val="00CC3A04"/>
    <w:rsid w:val="00CC3A53"/>
    <w:rsid w:val="00CC450D"/>
    <w:rsid w:val="00CC4FFC"/>
    <w:rsid w:val="00CC5328"/>
    <w:rsid w:val="00CC60E8"/>
    <w:rsid w:val="00CC6CC2"/>
    <w:rsid w:val="00CC77F9"/>
    <w:rsid w:val="00CC7CC0"/>
    <w:rsid w:val="00CD0735"/>
    <w:rsid w:val="00CD3D23"/>
    <w:rsid w:val="00CD42E0"/>
    <w:rsid w:val="00CD4B1D"/>
    <w:rsid w:val="00CD5322"/>
    <w:rsid w:val="00CD5934"/>
    <w:rsid w:val="00CD5F3D"/>
    <w:rsid w:val="00CD61C8"/>
    <w:rsid w:val="00CD6B26"/>
    <w:rsid w:val="00CD6DAC"/>
    <w:rsid w:val="00CD7BDE"/>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72B"/>
    <w:rsid w:val="00D004AD"/>
    <w:rsid w:val="00D01B92"/>
    <w:rsid w:val="00D02935"/>
    <w:rsid w:val="00D02C80"/>
    <w:rsid w:val="00D02FA1"/>
    <w:rsid w:val="00D056E9"/>
    <w:rsid w:val="00D07642"/>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349"/>
    <w:rsid w:val="00D2048E"/>
    <w:rsid w:val="00D2083B"/>
    <w:rsid w:val="00D2083F"/>
    <w:rsid w:val="00D20C74"/>
    <w:rsid w:val="00D2196F"/>
    <w:rsid w:val="00D21D15"/>
    <w:rsid w:val="00D23119"/>
    <w:rsid w:val="00D241D4"/>
    <w:rsid w:val="00D24A69"/>
    <w:rsid w:val="00D25520"/>
    <w:rsid w:val="00D27551"/>
    <w:rsid w:val="00D275A7"/>
    <w:rsid w:val="00D27824"/>
    <w:rsid w:val="00D3060F"/>
    <w:rsid w:val="00D31805"/>
    <w:rsid w:val="00D31B8E"/>
    <w:rsid w:val="00D31FBC"/>
    <w:rsid w:val="00D33DB2"/>
    <w:rsid w:val="00D33DE7"/>
    <w:rsid w:val="00D348BC"/>
    <w:rsid w:val="00D34C6E"/>
    <w:rsid w:val="00D35A07"/>
    <w:rsid w:val="00D37F91"/>
    <w:rsid w:val="00D405E6"/>
    <w:rsid w:val="00D4127F"/>
    <w:rsid w:val="00D43237"/>
    <w:rsid w:val="00D4323A"/>
    <w:rsid w:val="00D442ED"/>
    <w:rsid w:val="00D44C0E"/>
    <w:rsid w:val="00D46116"/>
    <w:rsid w:val="00D46297"/>
    <w:rsid w:val="00D4693D"/>
    <w:rsid w:val="00D46B07"/>
    <w:rsid w:val="00D47404"/>
    <w:rsid w:val="00D510DA"/>
    <w:rsid w:val="00D53F8D"/>
    <w:rsid w:val="00D547E6"/>
    <w:rsid w:val="00D56AD9"/>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057"/>
    <w:rsid w:val="00D85275"/>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24A"/>
    <w:rsid w:val="00DC18A5"/>
    <w:rsid w:val="00DC1B80"/>
    <w:rsid w:val="00DC1D8C"/>
    <w:rsid w:val="00DC231D"/>
    <w:rsid w:val="00DC31BF"/>
    <w:rsid w:val="00DC33EF"/>
    <w:rsid w:val="00DC4911"/>
    <w:rsid w:val="00DC5121"/>
    <w:rsid w:val="00DC7CFF"/>
    <w:rsid w:val="00DC7EFD"/>
    <w:rsid w:val="00DD090B"/>
    <w:rsid w:val="00DD15AE"/>
    <w:rsid w:val="00DD166F"/>
    <w:rsid w:val="00DD292A"/>
    <w:rsid w:val="00DD3144"/>
    <w:rsid w:val="00DD35ED"/>
    <w:rsid w:val="00DD3B33"/>
    <w:rsid w:val="00DD48BC"/>
    <w:rsid w:val="00DD4AEB"/>
    <w:rsid w:val="00DD694D"/>
    <w:rsid w:val="00DD72BD"/>
    <w:rsid w:val="00DD761B"/>
    <w:rsid w:val="00DE0079"/>
    <w:rsid w:val="00DE0517"/>
    <w:rsid w:val="00DE11DA"/>
    <w:rsid w:val="00DE359F"/>
    <w:rsid w:val="00DE3DC0"/>
    <w:rsid w:val="00DE59BB"/>
    <w:rsid w:val="00DE78F0"/>
    <w:rsid w:val="00DF001D"/>
    <w:rsid w:val="00DF0A63"/>
    <w:rsid w:val="00DF0F85"/>
    <w:rsid w:val="00DF2285"/>
    <w:rsid w:val="00DF2516"/>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69E"/>
    <w:rsid w:val="00E321EB"/>
    <w:rsid w:val="00E32336"/>
    <w:rsid w:val="00E32892"/>
    <w:rsid w:val="00E330BA"/>
    <w:rsid w:val="00E34DED"/>
    <w:rsid w:val="00E368E8"/>
    <w:rsid w:val="00E36D6E"/>
    <w:rsid w:val="00E37C8B"/>
    <w:rsid w:val="00E37ECE"/>
    <w:rsid w:val="00E37F8A"/>
    <w:rsid w:val="00E405B9"/>
    <w:rsid w:val="00E41941"/>
    <w:rsid w:val="00E425D4"/>
    <w:rsid w:val="00E43229"/>
    <w:rsid w:val="00E454C9"/>
    <w:rsid w:val="00E465E5"/>
    <w:rsid w:val="00E50761"/>
    <w:rsid w:val="00E509D9"/>
    <w:rsid w:val="00E50B13"/>
    <w:rsid w:val="00E50E79"/>
    <w:rsid w:val="00E51B16"/>
    <w:rsid w:val="00E5262C"/>
    <w:rsid w:val="00E53255"/>
    <w:rsid w:val="00E5511A"/>
    <w:rsid w:val="00E554A3"/>
    <w:rsid w:val="00E56917"/>
    <w:rsid w:val="00E573C2"/>
    <w:rsid w:val="00E579FC"/>
    <w:rsid w:val="00E603D8"/>
    <w:rsid w:val="00E60CA5"/>
    <w:rsid w:val="00E6223B"/>
    <w:rsid w:val="00E631C3"/>
    <w:rsid w:val="00E631DE"/>
    <w:rsid w:val="00E636E4"/>
    <w:rsid w:val="00E63AC5"/>
    <w:rsid w:val="00E64AEA"/>
    <w:rsid w:val="00E65918"/>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42DF"/>
    <w:rsid w:val="00E85E70"/>
    <w:rsid w:val="00E86E3F"/>
    <w:rsid w:val="00E87F57"/>
    <w:rsid w:val="00E911ED"/>
    <w:rsid w:val="00E91BCF"/>
    <w:rsid w:val="00E9266B"/>
    <w:rsid w:val="00E929F9"/>
    <w:rsid w:val="00E93807"/>
    <w:rsid w:val="00E94905"/>
    <w:rsid w:val="00E95DD6"/>
    <w:rsid w:val="00E969D1"/>
    <w:rsid w:val="00E96BB7"/>
    <w:rsid w:val="00E97387"/>
    <w:rsid w:val="00E97C37"/>
    <w:rsid w:val="00E97D2E"/>
    <w:rsid w:val="00EA0025"/>
    <w:rsid w:val="00EA0BA6"/>
    <w:rsid w:val="00EA1CEC"/>
    <w:rsid w:val="00EA1D6A"/>
    <w:rsid w:val="00EA38F1"/>
    <w:rsid w:val="00EA38F8"/>
    <w:rsid w:val="00EA4912"/>
    <w:rsid w:val="00EA4E12"/>
    <w:rsid w:val="00EA5D38"/>
    <w:rsid w:val="00EA65D9"/>
    <w:rsid w:val="00EA67B3"/>
    <w:rsid w:val="00EA734B"/>
    <w:rsid w:val="00EA7A7E"/>
    <w:rsid w:val="00EA7C63"/>
    <w:rsid w:val="00EB2081"/>
    <w:rsid w:val="00EB2852"/>
    <w:rsid w:val="00EB2E05"/>
    <w:rsid w:val="00EB348F"/>
    <w:rsid w:val="00EB39B5"/>
    <w:rsid w:val="00EB55BA"/>
    <w:rsid w:val="00EB7AF0"/>
    <w:rsid w:val="00EB7FED"/>
    <w:rsid w:val="00EC0583"/>
    <w:rsid w:val="00EC0612"/>
    <w:rsid w:val="00EC06C4"/>
    <w:rsid w:val="00EC079D"/>
    <w:rsid w:val="00EC0AB2"/>
    <w:rsid w:val="00EC24B4"/>
    <w:rsid w:val="00EC2AE7"/>
    <w:rsid w:val="00EC2EDF"/>
    <w:rsid w:val="00EC42A1"/>
    <w:rsid w:val="00EC523C"/>
    <w:rsid w:val="00EC675B"/>
    <w:rsid w:val="00EC7098"/>
    <w:rsid w:val="00ED00BF"/>
    <w:rsid w:val="00ED095F"/>
    <w:rsid w:val="00ED25F2"/>
    <w:rsid w:val="00ED34A7"/>
    <w:rsid w:val="00ED6405"/>
    <w:rsid w:val="00ED6FE1"/>
    <w:rsid w:val="00ED77B0"/>
    <w:rsid w:val="00ED7E12"/>
    <w:rsid w:val="00EE04F1"/>
    <w:rsid w:val="00EE07D1"/>
    <w:rsid w:val="00EE23B3"/>
    <w:rsid w:val="00EE3BB5"/>
    <w:rsid w:val="00EE45FF"/>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3F92"/>
    <w:rsid w:val="00F156A3"/>
    <w:rsid w:val="00F157DB"/>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13C"/>
    <w:rsid w:val="00F33485"/>
    <w:rsid w:val="00F35FD8"/>
    <w:rsid w:val="00F3642C"/>
    <w:rsid w:val="00F3654A"/>
    <w:rsid w:val="00F36C5B"/>
    <w:rsid w:val="00F408F6"/>
    <w:rsid w:val="00F40E78"/>
    <w:rsid w:val="00F41680"/>
    <w:rsid w:val="00F41EE0"/>
    <w:rsid w:val="00F42C39"/>
    <w:rsid w:val="00F475DC"/>
    <w:rsid w:val="00F511CC"/>
    <w:rsid w:val="00F51334"/>
    <w:rsid w:val="00F5203B"/>
    <w:rsid w:val="00F526AD"/>
    <w:rsid w:val="00F527B7"/>
    <w:rsid w:val="00F52E73"/>
    <w:rsid w:val="00F52F6F"/>
    <w:rsid w:val="00F53828"/>
    <w:rsid w:val="00F5517E"/>
    <w:rsid w:val="00F55B57"/>
    <w:rsid w:val="00F60B38"/>
    <w:rsid w:val="00F6108E"/>
    <w:rsid w:val="00F61602"/>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35E"/>
    <w:rsid w:val="00F8493A"/>
    <w:rsid w:val="00F86AAC"/>
    <w:rsid w:val="00F86D14"/>
    <w:rsid w:val="00F87716"/>
    <w:rsid w:val="00F87AF3"/>
    <w:rsid w:val="00F87E26"/>
    <w:rsid w:val="00F909A2"/>
    <w:rsid w:val="00F90B02"/>
    <w:rsid w:val="00F910AD"/>
    <w:rsid w:val="00F91779"/>
    <w:rsid w:val="00F921FF"/>
    <w:rsid w:val="00F9442E"/>
    <w:rsid w:val="00F944F3"/>
    <w:rsid w:val="00F946F6"/>
    <w:rsid w:val="00F94F26"/>
    <w:rsid w:val="00F9516C"/>
    <w:rsid w:val="00F9576A"/>
    <w:rsid w:val="00F95EDF"/>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712"/>
    <w:rsid w:val="00FE2B95"/>
    <w:rsid w:val="00FE2D66"/>
    <w:rsid w:val="00FE2E16"/>
    <w:rsid w:val="00FE321E"/>
    <w:rsid w:val="00FE3C92"/>
    <w:rsid w:val="00FE3E94"/>
    <w:rsid w:val="00FE3F37"/>
    <w:rsid w:val="00FE40D1"/>
    <w:rsid w:val="00FE42C7"/>
    <w:rsid w:val="00FE4FA5"/>
    <w:rsid w:val="00FE546E"/>
    <w:rsid w:val="00FE6453"/>
    <w:rsid w:val="00FE66B1"/>
    <w:rsid w:val="00FE684E"/>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A87FF6"/>
    <w:rsid w:val="02F14BEE"/>
    <w:rsid w:val="0308FA2A"/>
    <w:rsid w:val="0309FD5E"/>
    <w:rsid w:val="0323C718"/>
    <w:rsid w:val="03D8A615"/>
    <w:rsid w:val="03E120AC"/>
    <w:rsid w:val="043B16D5"/>
    <w:rsid w:val="04546A8E"/>
    <w:rsid w:val="04572A1B"/>
    <w:rsid w:val="04931AA5"/>
    <w:rsid w:val="04BDA2DC"/>
    <w:rsid w:val="050BA7A1"/>
    <w:rsid w:val="052708CF"/>
    <w:rsid w:val="055D3A24"/>
    <w:rsid w:val="056144A8"/>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A0898F"/>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0FF47DD4"/>
    <w:rsid w:val="10068807"/>
    <w:rsid w:val="10C284BA"/>
    <w:rsid w:val="10F00546"/>
    <w:rsid w:val="10F127CA"/>
    <w:rsid w:val="10FEF039"/>
    <w:rsid w:val="1114D0AE"/>
    <w:rsid w:val="113AE435"/>
    <w:rsid w:val="115308ED"/>
    <w:rsid w:val="11533657"/>
    <w:rsid w:val="1157E2E1"/>
    <w:rsid w:val="11742478"/>
    <w:rsid w:val="11AF4893"/>
    <w:rsid w:val="11C2DDCB"/>
    <w:rsid w:val="1216134D"/>
    <w:rsid w:val="125A15B0"/>
    <w:rsid w:val="1267A280"/>
    <w:rsid w:val="128B7576"/>
    <w:rsid w:val="1296CC1F"/>
    <w:rsid w:val="12CDDDC4"/>
    <w:rsid w:val="12FA3EF3"/>
    <w:rsid w:val="13286497"/>
    <w:rsid w:val="1347CCC5"/>
    <w:rsid w:val="139E0B01"/>
    <w:rsid w:val="13A84296"/>
    <w:rsid w:val="13A856F1"/>
    <w:rsid w:val="13AA67C8"/>
    <w:rsid w:val="13B322E5"/>
    <w:rsid w:val="13C36AC6"/>
    <w:rsid w:val="13E91E1A"/>
    <w:rsid w:val="143213A1"/>
    <w:rsid w:val="143C11F0"/>
    <w:rsid w:val="146B37A3"/>
    <w:rsid w:val="1498F8E7"/>
    <w:rsid w:val="14B954BC"/>
    <w:rsid w:val="14C377C4"/>
    <w:rsid w:val="14E8E8D8"/>
    <w:rsid w:val="14F28C41"/>
    <w:rsid w:val="14F9A8F2"/>
    <w:rsid w:val="15B652F7"/>
    <w:rsid w:val="164CC3D0"/>
    <w:rsid w:val="16BAB639"/>
    <w:rsid w:val="16E45F72"/>
    <w:rsid w:val="172D3A52"/>
    <w:rsid w:val="176BF6B7"/>
    <w:rsid w:val="17830B56"/>
    <w:rsid w:val="17B1FA23"/>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1CD8DF"/>
    <w:rsid w:val="1E4DD30F"/>
    <w:rsid w:val="1EF941FF"/>
    <w:rsid w:val="1F156827"/>
    <w:rsid w:val="1F4359FC"/>
    <w:rsid w:val="1F7C9676"/>
    <w:rsid w:val="1FC8CC49"/>
    <w:rsid w:val="1FCFE268"/>
    <w:rsid w:val="1FD81034"/>
    <w:rsid w:val="1FE27877"/>
    <w:rsid w:val="1FFC0426"/>
    <w:rsid w:val="202C5CA1"/>
    <w:rsid w:val="20388A30"/>
    <w:rsid w:val="206009A3"/>
    <w:rsid w:val="2081E039"/>
    <w:rsid w:val="20952045"/>
    <w:rsid w:val="20995108"/>
    <w:rsid w:val="20BDFB95"/>
    <w:rsid w:val="20C10829"/>
    <w:rsid w:val="20C1628F"/>
    <w:rsid w:val="20CF1FBE"/>
    <w:rsid w:val="2116A107"/>
    <w:rsid w:val="212B2D01"/>
    <w:rsid w:val="21EF7AC4"/>
    <w:rsid w:val="226CFF44"/>
    <w:rsid w:val="22CAA1BE"/>
    <w:rsid w:val="22F5D270"/>
    <w:rsid w:val="22F75C2C"/>
    <w:rsid w:val="233A77AF"/>
    <w:rsid w:val="238EFF04"/>
    <w:rsid w:val="23B76162"/>
    <w:rsid w:val="23C16567"/>
    <w:rsid w:val="24081EBA"/>
    <w:rsid w:val="24221758"/>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0D8443"/>
    <w:rsid w:val="28944AA8"/>
    <w:rsid w:val="28A28774"/>
    <w:rsid w:val="28AEC15E"/>
    <w:rsid w:val="28B6327C"/>
    <w:rsid w:val="28EAF516"/>
    <w:rsid w:val="291748B1"/>
    <w:rsid w:val="2918780C"/>
    <w:rsid w:val="2918F556"/>
    <w:rsid w:val="293B0D29"/>
    <w:rsid w:val="294A656B"/>
    <w:rsid w:val="29501296"/>
    <w:rsid w:val="296C9326"/>
    <w:rsid w:val="29B03051"/>
    <w:rsid w:val="2A10602E"/>
    <w:rsid w:val="2A20D67F"/>
    <w:rsid w:val="2A84F75D"/>
    <w:rsid w:val="2AB8F97F"/>
    <w:rsid w:val="2AE12B46"/>
    <w:rsid w:val="2AFA85B6"/>
    <w:rsid w:val="2B4B8799"/>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729D45"/>
    <w:rsid w:val="2EE410E5"/>
    <w:rsid w:val="2F37ACB2"/>
    <w:rsid w:val="2FA6261B"/>
    <w:rsid w:val="2FD837A2"/>
    <w:rsid w:val="2FF6A4E8"/>
    <w:rsid w:val="2FFB1236"/>
    <w:rsid w:val="30030D6B"/>
    <w:rsid w:val="301C1F4C"/>
    <w:rsid w:val="3047D054"/>
    <w:rsid w:val="305871D2"/>
    <w:rsid w:val="308AD2B7"/>
    <w:rsid w:val="30D7E1C6"/>
    <w:rsid w:val="30EE0E1C"/>
    <w:rsid w:val="3146848D"/>
    <w:rsid w:val="316CC60E"/>
    <w:rsid w:val="3191B91B"/>
    <w:rsid w:val="31D2455C"/>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B1DDF"/>
    <w:rsid w:val="34FE116B"/>
    <w:rsid w:val="34FF001E"/>
    <w:rsid w:val="358B4182"/>
    <w:rsid w:val="35F55AB0"/>
    <w:rsid w:val="363B9A27"/>
    <w:rsid w:val="3655F5E8"/>
    <w:rsid w:val="366D57B2"/>
    <w:rsid w:val="3675C8BF"/>
    <w:rsid w:val="36ACEF8A"/>
    <w:rsid w:val="36DFCDE2"/>
    <w:rsid w:val="36EA4D22"/>
    <w:rsid w:val="3785CA07"/>
    <w:rsid w:val="37DE0C46"/>
    <w:rsid w:val="380B10E9"/>
    <w:rsid w:val="387F6CD0"/>
    <w:rsid w:val="3887D169"/>
    <w:rsid w:val="391A85E0"/>
    <w:rsid w:val="39761EB5"/>
    <w:rsid w:val="39C436BC"/>
    <w:rsid w:val="39CCE799"/>
    <w:rsid w:val="39F69C43"/>
    <w:rsid w:val="3A59A328"/>
    <w:rsid w:val="3AA5F5E7"/>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D19263"/>
    <w:rsid w:val="3ED9ABB7"/>
    <w:rsid w:val="3EE80B52"/>
    <w:rsid w:val="3F2C0125"/>
    <w:rsid w:val="3F435E0F"/>
    <w:rsid w:val="3F4C5B83"/>
    <w:rsid w:val="3F6B510D"/>
    <w:rsid w:val="402EE87E"/>
    <w:rsid w:val="403480BB"/>
    <w:rsid w:val="4038FB27"/>
    <w:rsid w:val="403A90C8"/>
    <w:rsid w:val="409BDE98"/>
    <w:rsid w:val="40A7EC96"/>
    <w:rsid w:val="40B05B45"/>
    <w:rsid w:val="40C59A3B"/>
    <w:rsid w:val="40CC2131"/>
    <w:rsid w:val="40DACC78"/>
    <w:rsid w:val="40E8E6E2"/>
    <w:rsid w:val="40F11653"/>
    <w:rsid w:val="4155B0B3"/>
    <w:rsid w:val="426215FF"/>
    <w:rsid w:val="427040DC"/>
    <w:rsid w:val="4281762D"/>
    <w:rsid w:val="42BB817D"/>
    <w:rsid w:val="42D77A96"/>
    <w:rsid w:val="42F121DF"/>
    <w:rsid w:val="43914498"/>
    <w:rsid w:val="43A686FB"/>
    <w:rsid w:val="43D202B3"/>
    <w:rsid w:val="44795FA6"/>
    <w:rsid w:val="449C882E"/>
    <w:rsid w:val="44AB6486"/>
    <w:rsid w:val="44B4523A"/>
    <w:rsid w:val="44E51B8C"/>
    <w:rsid w:val="4510C4F5"/>
    <w:rsid w:val="4538AB66"/>
    <w:rsid w:val="45936DD4"/>
    <w:rsid w:val="45B201C2"/>
    <w:rsid w:val="45CFF1FD"/>
    <w:rsid w:val="45E7AF4D"/>
    <w:rsid w:val="45FF4A45"/>
    <w:rsid w:val="465C7D69"/>
    <w:rsid w:val="466E435B"/>
    <w:rsid w:val="46B1919E"/>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2A970"/>
    <w:rsid w:val="4DB37933"/>
    <w:rsid w:val="4E0874FD"/>
    <w:rsid w:val="4E1D2C26"/>
    <w:rsid w:val="4EB5ADDD"/>
    <w:rsid w:val="4F0B5A3C"/>
    <w:rsid w:val="4F1C04DD"/>
    <w:rsid w:val="4F2B0AEA"/>
    <w:rsid w:val="4F2D4A24"/>
    <w:rsid w:val="4F5B9285"/>
    <w:rsid w:val="4FA44F2D"/>
    <w:rsid w:val="4FD59268"/>
    <w:rsid w:val="501613E3"/>
    <w:rsid w:val="505B5F7E"/>
    <w:rsid w:val="51273A55"/>
    <w:rsid w:val="51615AD7"/>
    <w:rsid w:val="517946E2"/>
    <w:rsid w:val="5195A27A"/>
    <w:rsid w:val="51AF91B5"/>
    <w:rsid w:val="51BDF2FE"/>
    <w:rsid w:val="51BEE77C"/>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4A90751"/>
    <w:rsid w:val="5504BB7A"/>
    <w:rsid w:val="550709C7"/>
    <w:rsid w:val="55585F0D"/>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9AC546"/>
    <w:rsid w:val="57AA0805"/>
    <w:rsid w:val="57E100CC"/>
    <w:rsid w:val="57E2A5A7"/>
    <w:rsid w:val="57EEC8DF"/>
    <w:rsid w:val="584D17AC"/>
    <w:rsid w:val="58AEECBB"/>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65014D"/>
    <w:rsid w:val="5D6F8CFB"/>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10C32"/>
    <w:rsid w:val="61A942DB"/>
    <w:rsid w:val="62145993"/>
    <w:rsid w:val="62758EDD"/>
    <w:rsid w:val="627A8621"/>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17A426"/>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15A6A5"/>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194D23"/>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B6493"/>
    <w:rsid w:val="7B73DFB7"/>
    <w:rsid w:val="7D20FE15"/>
    <w:rsid w:val="7D21AE94"/>
    <w:rsid w:val="7D521BC0"/>
    <w:rsid w:val="7DC846F0"/>
    <w:rsid w:val="7E051BE0"/>
    <w:rsid w:val="7E7AD4DA"/>
    <w:rsid w:val="7E804FEF"/>
    <w:rsid w:val="7E85AC65"/>
    <w:rsid w:val="7E936A87"/>
    <w:rsid w:val="7F055E15"/>
    <w:rsid w:val="7F304C33"/>
    <w:rsid w:val="7F327DCF"/>
    <w:rsid w:val="7F5692B1"/>
    <w:rsid w:val="7F821939"/>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FFEF8E32-428C-45FC-A8E3-86CDC67B5A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eb.archive.org/web/20250616095700/https://www.bddk.org.tr/Mevzuat/DokumanGetir/1282"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06155729/https://mevzuat.gov.tr/mevzuat?MevzuatNo=10522&amp;MevzuatTur=7&amp;MevzuatTertip=5"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5" Type="http://schemas.openxmlformats.org/officeDocument/2006/relationships/fontTable" Target="fontTable.xml"/><Relationship Id="rId20" Type="http://schemas.openxmlformats.org/officeDocument/2006/relationships/hyperlink" Target="https://web.archive.org/web/20250706155651/https://mevzuat.gov.tr/File/GeneratePdf?mevzuatNo=19864&amp;mevzuatTur=KurumVeKurulusYonetmeligi&amp;mevzuatTertip=5" TargetMode="Externa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footnotes" Target="footnotes.xml"/><Relationship Id="rId19" Type="http://schemas.openxmlformats.org/officeDocument/2006/relationships/hyperlink" Target="https://web.archive.org/web/20250706154626/https://mevzuat.gov.tr/MevzuatMetin/1.5.5411.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Belge" ma:contentTypeID="0x0101009ABF40DF24CAFA488FEE276796BF2C20" ma:contentTypeVersion="37" ma:contentTypeDescription="Yeni belge oluşturun." ma:contentTypeScope="" ma:versionID="cab6473280e943dbc8ad83bef7ea3a7e">
  <xsd:schema xmlns:xsd="http://www.w3.org/2001/XMLSchema" xmlns:xs="http://www.w3.org/2001/XMLSchema" xmlns:p="http://schemas.microsoft.com/office/2006/metadata/properties" xmlns:ns2="179c9df7-bfec-4257-afe4-54792d6740de" xmlns:ns3="6959f927-86e6-4409-9072-99cd7240dcc0" xmlns:ns4="4ac0b8a0-ba54-445b-b740-0151bc5fb9d7" targetNamespace="http://schemas.microsoft.com/office/2006/metadata/properties" ma:root="true" ma:fieldsID="52e00ce0b2481f6be71fbd9044d3fd9a" ns2:_="" ns3:_="" ns4:_="">
    <xsd:import namespace="179c9df7-bfec-4257-afe4-54792d6740de"/>
    <xsd:import namespace="6959f927-86e6-4409-9072-99cd7240dcc0"/>
    <xsd:import namespace="4ac0b8a0-ba54-445b-b740-0151bc5fb9d7"/>
    <xsd:element name="properties">
      <xsd:complexType>
        <xsd:sequence>
          <xsd:element name="documentManagement">
            <xsd:complexType>
              <xsd:all>
                <xsd:element ref="ns2:_dlc_DocId" minOccurs="0"/>
                <xsd:element ref="ns2:_dlc_DocIdUrl" minOccurs="0"/>
                <xsd:element ref="ns2:_dlc_DocIdPersistId" minOccurs="0"/>
                <xsd:element ref="ns3:subject" minOccurs="0"/>
                <xsd:element ref="ns3:belge_id" minOccurs="0"/>
                <xsd:element ref="ns3:muvekkil_id" minOccurs="0"/>
                <xsd:element ref="ns3:muvekkil" minOccurs="0"/>
                <xsd:element ref="ns3:dosya_id" minOccurs="0"/>
                <xsd:element ref="ns3:dosya" minOccurs="0"/>
                <xsd:element ref="ns3:belge_tipi" minOccurs="0"/>
                <xsd:element ref="ns3:belge_turu" minOccurs="0"/>
                <xsd:element ref="ns3:belge_tarihi" minOccurs="0"/>
                <xsd:element ref="ns3:item_type" minOccurs="0"/>
                <xsd:element ref="ns3:MediaServiceMetadata" minOccurs="0"/>
                <xsd:element ref="ns3:MediaServiceFastMetadata" minOccurs="0"/>
                <xsd:element ref="ns3:MediaServiceAutoTags" minOccurs="0"/>
                <xsd:element ref="ns3:MediaServiceOCR" minOccurs="0"/>
                <xsd:element ref="ns3:MediaServiceDateTaken" minOccurs="0"/>
                <xsd:element ref="ns2:SharedWithUsers" minOccurs="0"/>
                <xsd:element ref="ns2:SharedWithDetails"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lcf76f155ced4ddcb4097134ff3c332f" minOccurs="0"/>
                <xsd:element ref="ns4:TaxCatchAll" minOccurs="0"/>
                <xsd:element ref="ns3:MediaServiceObjectDetectorVersions" minOccurs="0"/>
                <xsd:element ref="ns3:MediaServiceSearchProperties" minOccurs="0"/>
                <xsd:element ref="ns3:Name" minOccurs="0"/>
                <xsd:element ref="ns3:Date" minOccurs="0"/>
                <xsd:element ref="ns3:ClientName" minOccurs="0"/>
                <xsd:element ref="ns3:ClientID" minOccurs="0"/>
                <xsd:element ref="ns3:MatterName" minOccurs="0"/>
                <xsd:element ref="ns3:MatterID" minOccurs="0"/>
                <xsd:element ref="ns3:Category" minOccurs="0"/>
                <xsd:element ref="ns3:DocumentID" minOccurs="0"/>
                <xsd:element ref="ns3:VersionID" minOccurs="0"/>
                <xsd:element ref="ns3:VersionN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9c9df7-bfec-4257-afe4-54792d6740de" elementFormDefault="qualified">
    <xsd:import namespace="http://schemas.microsoft.com/office/2006/documentManagement/types"/>
    <xsd:import namespace="http://schemas.microsoft.com/office/infopath/2007/PartnerControls"/>
    <xsd:element name="_dlc_DocId" ma:index="8" nillable="true" ma:displayName="Belge Kimliği Değeri" ma:description="Bu öğeye atanan belge kimliğinin değeri." ma:internalName="_dlc_DocId" ma:readOnly="true">
      <xsd:simpleType>
        <xsd:restriction base="dms:Text"/>
      </xsd:simpleType>
    </xsd:element>
    <xsd:element name="_dlc_DocIdUrl" ma:index="9" nillable="true" ma:displayName="Belge Kimliği" ma:description="Bu belgeye yönelik kalıcı bağlantı."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Kalıcı Kimlik" ma:description="Eklerken kimliği koru." ma:hidden="true" ma:internalName="_dlc_DocIdPersistId" ma:readOnly="true">
      <xsd:simpleType>
        <xsd:restriction base="dms:Boolean"/>
      </xsd:simpleType>
    </xsd:element>
    <xsd:element name="SharedWithUsers" ma:index="26"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7" nillable="true" ma:displayName="Ayrıntıları ile Paylaşıldı"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959f927-86e6-4409-9072-99cd7240dcc0" elementFormDefault="qualified">
    <xsd:import namespace="http://schemas.microsoft.com/office/2006/documentManagement/types"/>
    <xsd:import namespace="http://schemas.microsoft.com/office/infopath/2007/PartnerControls"/>
    <xsd:element name="subject" ma:index="11" nillable="true" ma:displayName="Başlık" ma:indexed="true" ma:internalName="subject">
      <xsd:simpleType>
        <xsd:restriction base="dms:Text"/>
      </xsd:simpleType>
    </xsd:element>
    <xsd:element name="belge_id" ma:index="12" nillable="true" ma:displayName="Belge Id" ma:decimals="0" ma:hidden="true" ma:indexed="true" ma:internalName="belge_id" ma:percentage="FALSE">
      <xsd:simpleType>
        <xsd:restriction base="dms:Number">
          <xsd:minInclusive value="0"/>
        </xsd:restriction>
      </xsd:simpleType>
    </xsd:element>
    <xsd:element name="muvekkil_id" ma:index="13" nillable="true" ma:displayName="Müvekkil Id" ma:decimals="0" ma:hidden="true" ma:indexed="true" ma:internalName="muvekkil_id" ma:percentage="FALSE">
      <xsd:simpleType>
        <xsd:restriction base="dms:Number">
          <xsd:minInclusive value="0"/>
        </xsd:restriction>
      </xsd:simpleType>
    </xsd:element>
    <xsd:element name="muvekkil" ma:index="14" nillable="true" ma:displayName="Müvekkil İsmi" ma:indexed="true" ma:internalName="muvekkil">
      <xsd:simpleType>
        <xsd:restriction base="dms:Text"/>
      </xsd:simpleType>
    </xsd:element>
    <xsd:element name="dosya_id" ma:index="15" nillable="true" ma:displayName="Dosya Id" ma:decimals="0" ma:hidden="true" ma:indexed="true" ma:internalName="dosya_id" ma:percentage="FALSE">
      <xsd:simpleType>
        <xsd:restriction base="dms:Number">
          <xsd:minInclusive value="0"/>
        </xsd:restriction>
      </xsd:simpleType>
    </xsd:element>
    <xsd:element name="dosya" ma:index="16" nillable="true" ma:displayName="Dosya Adı" ma:indexed="true" ma:internalName="dosya">
      <xsd:simpleType>
        <xsd:restriction base="dms:Text"/>
      </xsd:simpleType>
    </xsd:element>
    <xsd:element name="belge_tipi" ma:index="17" nillable="true" ma:displayName="Belge Tipi" ma:internalName="belge_tipi">
      <xsd:simpleType>
        <xsd:restriction base="dms:Text"/>
      </xsd:simpleType>
    </xsd:element>
    <xsd:element name="belge_turu" ma:index="18" nillable="true" ma:displayName="Belge Türü" ma:internalName="belge_turu">
      <xsd:simpleType>
        <xsd:restriction base="dms:Text"/>
      </xsd:simpleType>
    </xsd:element>
    <xsd:element name="belge_tarihi" ma:index="19" nillable="true" ma:displayName="Belge Tarihi" ma:format="DateOnly" ma:indexed="true" ma:internalName="belge_tarihi">
      <xsd:simpleType>
        <xsd:restriction base="dms:DateTime"/>
      </xsd:simpleType>
    </xsd:element>
    <xsd:element name="item_type" ma:index="20" nillable="true" ma:displayName="Item Type" ma:hidden="true" ma:internalName="item_type">
      <xsd:simpleType>
        <xsd:restriction base="dms:Text"/>
      </xsd:simpleType>
    </xsd:element>
    <xsd:element name="MediaServiceMetadata" ma:index="21" nillable="true" ma:displayName="MediaServiceMetadata" ma:hidden="true" ma:internalName="MediaServiceMetadata" ma:readOnly="true">
      <xsd:simpleType>
        <xsd:restriction base="dms:Note"/>
      </xsd:simpleType>
    </xsd:element>
    <xsd:element name="MediaServiceFastMetadata" ma:index="22" nillable="true" ma:displayName="MediaServiceFastMetadata" ma:hidden="true" ma:internalName="MediaServiceFastMetadata" ma:readOnly="true">
      <xsd:simpleType>
        <xsd:restriction base="dms:Note"/>
      </xsd:simpleType>
    </xsd:element>
    <xsd:element name="MediaServiceAutoTags" ma:index="23" nillable="true" ma:displayName="Tags" ma:internalName="MediaServiceAutoTags" ma:readOnly="true">
      <xsd:simpleType>
        <xsd:restriction base="dms:Text"/>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DateTaken" ma:index="25" nillable="true" ma:displayName="MediaServiceDateTaken" ma:hidden="true" ma:internalName="MediaServiceDateTaken" ma:readOnly="true">
      <xsd:simpleType>
        <xsd:restriction base="dms:Text"/>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AutoKeyPoints" ma:index="30" nillable="true" ma:displayName="MediaServiceAutoKeyPoints" ma:hidden="true" ma:internalName="MediaServiceAutoKeyPoints" ma:readOnly="true">
      <xsd:simpleType>
        <xsd:restriction base="dms:Note"/>
      </xsd:simpleType>
    </xsd:element>
    <xsd:element name="MediaServiceKeyPoints" ma:index="31" nillable="true" ma:displayName="KeyPoints" ma:internalName="MediaServiceKeyPoints" ma:readOnly="true">
      <xsd:simpleType>
        <xsd:restriction base="dms:Note">
          <xsd:maxLength value="255"/>
        </xsd:restriction>
      </xsd:simpleType>
    </xsd:element>
    <xsd:element name="MediaServiceLocation" ma:index="32" nillable="true" ma:displayName="Location" ma:internalName="MediaServiceLocation" ma:readOnly="true">
      <xsd:simpleType>
        <xsd:restriction base="dms:Text"/>
      </xsd:simpleType>
    </xsd:element>
    <xsd:element name="lcf76f155ced4ddcb4097134ff3c332f" ma:index="34" nillable="true" ma:taxonomy="true" ma:internalName="lcf76f155ced4ddcb4097134ff3c332f" ma:taxonomyFieldName="MediaServiceImageTags" ma:displayName="Resim Etiketleri" ma:readOnly="false" ma:fieldId="{5cf76f15-5ced-4ddc-b409-7134ff3c332f}" ma:taxonomyMulti="true" ma:sspId="418c54c4-3fe2-4da3-a3ed-58a9693858c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7" nillable="true" ma:displayName="MediaServiceSearchProperties" ma:hidden="true" ma:internalName="MediaServiceSearchProperties" ma:readOnly="true">
      <xsd:simpleType>
        <xsd:restriction base="dms:Note"/>
      </xsd:simpleType>
    </xsd:element>
    <xsd:element name="Name" ma:index="38" nillable="true" ma:displayName="Name" ma:description="Name" ma:format="Dropdown" ma:internalName="Name">
      <xsd:simpleType>
        <xsd:restriction base="dms:Text">
          <xsd:maxLength value="255"/>
        </xsd:restriction>
      </xsd:simpleType>
    </xsd:element>
    <xsd:element name="Date" ma:index="39" nillable="true" ma:displayName="Date" ma:description="Date" ma:format="DateOnly" ma:internalName="Date">
      <xsd:simpleType>
        <xsd:restriction base="dms:DateTime"/>
      </xsd:simpleType>
    </xsd:element>
    <xsd:element name="ClientName" ma:index="40" nillable="true" ma:displayName="ClientName" ma:description="ClientName" ma:format="Dropdown" ma:internalName="ClientName">
      <xsd:simpleType>
        <xsd:restriction base="dms:Text">
          <xsd:maxLength value="255"/>
        </xsd:restriction>
      </xsd:simpleType>
    </xsd:element>
    <xsd:element name="ClientID" ma:index="41" nillable="true" ma:displayName="ClientID" ma:description="ClientID" ma:format="Dropdown" ma:internalName="ClientID">
      <xsd:simpleType>
        <xsd:restriction base="dms:Text">
          <xsd:maxLength value="255"/>
        </xsd:restriction>
      </xsd:simpleType>
    </xsd:element>
    <xsd:element name="MatterName" ma:index="42" nillable="true" ma:displayName="MatterName" ma:description="MatterName" ma:format="Dropdown" ma:internalName="MatterName">
      <xsd:simpleType>
        <xsd:restriction base="dms:Text">
          <xsd:maxLength value="255"/>
        </xsd:restriction>
      </xsd:simpleType>
    </xsd:element>
    <xsd:element name="MatterID" ma:index="43" nillable="true" ma:displayName="MatterID" ma:description="MatterID" ma:format="Dropdown" ma:internalName="MatterID">
      <xsd:simpleType>
        <xsd:restriction base="dms:Text">
          <xsd:maxLength value="255"/>
        </xsd:restriction>
      </xsd:simpleType>
    </xsd:element>
    <xsd:element name="Category" ma:index="44" nillable="true" ma:displayName="Category" ma:description="Category" ma:format="Dropdown" ma:internalName="Category">
      <xsd:simpleType>
        <xsd:restriction base="dms:Text">
          <xsd:maxLength value="255"/>
        </xsd:restriction>
      </xsd:simpleType>
    </xsd:element>
    <xsd:element name="DocumentID" ma:index="45" nillable="true" ma:displayName="DocumentID" ma:description="DocumentID" ma:format="Dropdown" ma:internalName="DocumentID">
      <xsd:simpleType>
        <xsd:restriction base="dms:Text">
          <xsd:maxLength value="255"/>
        </xsd:restriction>
      </xsd:simpleType>
    </xsd:element>
    <xsd:element name="VersionID" ma:index="46" nillable="true" ma:displayName="VersionID" ma:description="VersionID" ma:format="Dropdown" ma:internalName="VersionID">
      <xsd:simpleType>
        <xsd:restriction base="dms:Text">
          <xsd:maxLength value="255"/>
        </xsd:restriction>
      </xsd:simpleType>
    </xsd:element>
    <xsd:element name="VersionNo" ma:index="47" nillable="true" ma:displayName="VersionNo" ma:decimals="0" ma:description="VersionNo" ma:format="Dropdown" ma:internalName="VersionNo" ma:percentage="FALSE">
      <xsd:simpleType>
        <xsd:restriction base="dms:Number">
          <xsd:minInclusive value="1"/>
        </xsd:restriction>
      </xsd:simpleType>
    </xsd:element>
  </xsd:schema>
  <xsd:schema xmlns:xsd="http://www.w3.org/2001/XMLSchema" xmlns:xs="http://www.w3.org/2001/XMLSchema" xmlns:dms="http://schemas.microsoft.com/office/2006/documentManagement/types" xmlns:pc="http://schemas.microsoft.com/office/infopath/2007/PartnerControls" targetNamespace="4ac0b8a0-ba54-445b-b740-0151bc5fb9d7" elementFormDefault="qualified">
    <xsd:import namespace="http://schemas.microsoft.com/office/2006/documentManagement/types"/>
    <xsd:import namespace="http://schemas.microsoft.com/office/infopath/2007/PartnerControls"/>
    <xsd:element name="TaxCatchAll" ma:index="35" nillable="true" ma:displayName="Taxonomy Catch All Column" ma:hidden="true" ma:list="{e6201808-5170-4ff3-8802-9a4119680b73}" ma:internalName="TaxCatchAll" ma:showField="CatchAllData" ma:web="179c9df7-bfec-4257-afe4-54792d6740d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AFAE2B6B-DE6F-450C-B176-9DE1699077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9c9df7-bfec-4257-afe4-54792d6740de"/>
    <ds:schemaRef ds:uri="6959f927-86e6-4409-9072-99cd7240dcc0"/>
    <ds:schemaRef ds:uri="4ac0b8a0-ba54-445b-b740-0151bc5fb9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A77BB44-194E-4857-9428-137A83228ECC}"/>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5.xml><?xml version="1.0" encoding="utf-8"?>
<ds:datastoreItem xmlns:ds="http://schemas.openxmlformats.org/officeDocument/2006/customXml" ds:itemID="{CA30C1F8-91C6-481E-AD03-A4EBDC9138F1}">
  <ds:schemaRefs>
    <ds:schemaRef ds:uri="http://www.w3.org/XML/1998/namespace"/>
    <ds:schemaRef ds:uri="http://purl.org/dc/elements/1.1/"/>
    <ds:schemaRef ds:uri="http://purl.org/dc/terms/"/>
    <ds:schemaRef ds:uri="http://schemas.microsoft.com/office/2006/metadata/properties"/>
    <ds:schemaRef ds:uri="http://purl.org/dc/dcmitype/"/>
    <ds:schemaRef ds:uri="179c9df7-bfec-4257-afe4-54792d6740de"/>
    <ds:schemaRef ds:uri="6959f927-86e6-4409-9072-99cd7240dcc0"/>
    <ds:schemaRef ds:uri="http://schemas.microsoft.com/office/2006/documentManagement/types"/>
    <ds:schemaRef ds:uri="http://schemas.microsoft.com/office/infopath/2007/PartnerControls"/>
    <ds:schemaRef ds:uri="http://schemas.openxmlformats.org/package/2006/metadata/core-properties"/>
    <ds:schemaRef ds:uri="4ac0b8a0-ba54-445b-b740-0151bc5fb9d7"/>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82</Pages>
  <Words>24876</Words>
  <Characters>141796</Characters>
  <Application>Microsoft Office Word</Application>
  <DocSecurity>0</DocSecurity>
  <Lines>1181</Lines>
  <Paragraphs>332</Paragraphs>
  <ScaleCrop>false</ScaleCrop>
  <Company/>
  <LinksUpToDate>false</LinksUpToDate>
  <CharactersWithSpaces>166340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2</cp:revision>
  <cp:lastPrinted>2025-03-21T10:14:00Z</cp:lastPrinted>
  <dcterms:created xsi:type="dcterms:W3CDTF">2025-07-08T06:58:00Z</dcterms:created>
  <dcterms:modified xsi:type="dcterms:W3CDTF">2025-07-08T06:58:00Z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_dlc_DocIdItemGuid">
    <vt:lpwstr>ea845a1c-13fe-47d9-b02a-786a2d5ed23a</vt:lpwstr>
  </property>
</Properties>
</file>